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A9555E">
      <w:pPr>
        <w:pStyle w:val="10"/>
        <w:tabs>
          <w:tab w:val="left" w:pos="-5400"/>
          <w:tab w:val="left" w:pos="-3330"/>
        </w:tabs>
        <w:rPr>
          <w:rFonts w:ascii="Times New Roman" w:hAnsi="Times New Roman" w:cs="Times New Roman"/>
          <w:sz w:val="28"/>
          <w:szCs w:val="28"/>
        </w:rPr>
      </w:pPr>
    </w:p>
    <w:p w14:paraId="290B868E">
      <w:pPr>
        <w:pStyle w:val="10"/>
        <w:tabs>
          <w:tab w:val="left" w:pos="-5400"/>
          <w:tab w:val="left" w:pos="-3330"/>
        </w:tabs>
        <w:rPr>
          <w:rFonts w:ascii="Times New Roman" w:hAnsi="Times New Roman" w:cs="Times New Roman"/>
          <w:color w:val="0070C0"/>
          <w:sz w:val="28"/>
          <w:szCs w:val="28"/>
        </w:rPr>
      </w:pPr>
      <w:r>
        <w:rPr>
          <w:rFonts w:hint="default" w:ascii="Times New Roman" w:hAnsi="Times New Roman"/>
          <w:sz w:val="28"/>
          <w:szCs w:val="28"/>
        </w:rPr>
        <w:t>THE IMPLEMENTATION OF THE BEGINNING READING AND WRITING METHOD TO IMPROVE SIMPLE SENTENCE READING SKILLS OF GRADE 1B STUDENTS AT SDN 2 TATURA</w:t>
      </w:r>
    </w:p>
    <w:p w14:paraId="3A35CE87">
      <w:pPr>
        <w:spacing w:after="0"/>
        <w:jc w:val="center"/>
        <w:rPr>
          <w:rFonts w:ascii="Times New Roman" w:hAnsi="Times New Roman" w:cs="Times New Roman"/>
          <w:sz w:val="28"/>
          <w:szCs w:val="28"/>
        </w:rPr>
      </w:pPr>
    </w:p>
    <w:p w14:paraId="3D40DBD2">
      <w:pPr>
        <w:spacing w:after="0" w:line="240" w:lineRule="auto"/>
        <w:jc w:val="center"/>
        <w:rPr>
          <w:rFonts w:ascii="Times New Roman" w:hAnsi="Times New Roman" w:cs="Times New Roman"/>
          <w:b/>
          <w:color w:val="0070C0"/>
          <w:sz w:val="18"/>
          <w:szCs w:val="18"/>
        </w:rPr>
      </w:pPr>
      <w:r>
        <w:rPr>
          <w:rFonts w:hint="default" w:ascii="Times New Roman" w:hAnsi="Times New Roman" w:cs="Times New Roman"/>
          <w:b/>
          <w:sz w:val="18"/>
          <w:szCs w:val="18"/>
          <w:lang w:val="en-US"/>
        </w:rPr>
        <w:t>Yunita</w:t>
      </w:r>
      <w:r>
        <w:rPr>
          <w:rFonts w:ascii="Times New Roman" w:hAnsi="Times New Roman" w:cs="Times New Roman"/>
          <w:b/>
          <w:sz w:val="18"/>
          <w:szCs w:val="18"/>
          <w:vertAlign w:val="superscript"/>
        </w:rPr>
        <w:t>1)</w:t>
      </w:r>
      <w:r>
        <w:rPr>
          <w:rFonts w:ascii="Times New Roman" w:hAnsi="Times New Roman" w:cs="Times New Roman"/>
          <w:b/>
          <w:sz w:val="18"/>
          <w:szCs w:val="18"/>
        </w:rPr>
        <w:t xml:space="preserve">, </w:t>
      </w:r>
      <w:r>
        <w:rPr>
          <w:rFonts w:hint="default" w:ascii="Times New Roman" w:hAnsi="Times New Roman" w:cs="Times New Roman"/>
          <w:b/>
          <w:sz w:val="18"/>
          <w:szCs w:val="18"/>
          <w:lang w:val="en-US"/>
        </w:rPr>
        <w:t>Syamsuddin</w:t>
      </w:r>
      <w:r>
        <w:rPr>
          <w:rFonts w:ascii="Times New Roman" w:hAnsi="Times New Roman" w:cs="Times New Roman"/>
          <w:b/>
          <w:sz w:val="18"/>
          <w:szCs w:val="18"/>
          <w:vertAlign w:val="superscript"/>
        </w:rPr>
        <w:t>2)</w:t>
      </w:r>
      <w:r>
        <w:rPr>
          <w:rFonts w:hint="default" w:ascii="Times New Roman" w:hAnsi="Times New Roman" w:cs="Times New Roman"/>
          <w:b/>
          <w:sz w:val="18"/>
          <w:szCs w:val="18"/>
          <w:vertAlign w:val="baseline"/>
          <w:lang w:val="en-US"/>
        </w:rPr>
        <w:t xml:space="preserve">, </w:t>
      </w:r>
      <w:r>
        <w:rPr>
          <w:rFonts w:hint="default" w:ascii="Times New Roman" w:hAnsi="Times New Roman" w:cs="Times New Roman"/>
          <w:b/>
          <w:sz w:val="18"/>
          <w:szCs w:val="18"/>
          <w:lang w:val="en-US"/>
        </w:rPr>
        <w:t>Ulfah</w:t>
      </w:r>
      <w:r>
        <w:rPr>
          <w:rFonts w:hint="default" w:ascii="Times New Roman" w:hAnsi="Times New Roman" w:cs="Times New Roman"/>
          <w:b/>
          <w:sz w:val="18"/>
          <w:szCs w:val="18"/>
          <w:vertAlign w:val="superscript"/>
          <w:lang w:val="en-US"/>
        </w:rPr>
        <w:t>3</w:t>
      </w:r>
      <w:r>
        <w:rPr>
          <w:rFonts w:ascii="Times New Roman" w:hAnsi="Times New Roman" w:cs="Times New Roman"/>
          <w:b/>
          <w:sz w:val="18"/>
          <w:szCs w:val="18"/>
          <w:vertAlign w:val="superscript"/>
        </w:rPr>
        <w:t>)</w:t>
      </w:r>
      <w:r>
        <w:rPr>
          <w:rFonts w:ascii="Times New Roman" w:hAnsi="Times New Roman" w:cs="Times New Roman"/>
          <w:b/>
          <w:sz w:val="18"/>
          <w:szCs w:val="18"/>
        </w:rPr>
        <w:t xml:space="preserve">, </w:t>
      </w:r>
      <w:r>
        <w:rPr>
          <w:rFonts w:hint="default" w:ascii="Times New Roman" w:hAnsi="Times New Roman" w:cs="Times New Roman"/>
          <w:b/>
          <w:sz w:val="18"/>
          <w:szCs w:val="18"/>
          <w:lang w:val="en-US"/>
        </w:rPr>
        <w:t>Moh. Tahir</w:t>
      </w:r>
      <w:r>
        <w:rPr>
          <w:rFonts w:hint="default" w:ascii="Times New Roman" w:hAnsi="Times New Roman" w:cs="Times New Roman"/>
          <w:b/>
          <w:sz w:val="18"/>
          <w:szCs w:val="18"/>
          <w:vertAlign w:val="superscript"/>
          <w:lang w:val="en-US"/>
        </w:rPr>
        <w:t>4</w:t>
      </w:r>
      <w:r>
        <w:rPr>
          <w:rFonts w:ascii="Times New Roman" w:hAnsi="Times New Roman" w:cs="Times New Roman"/>
          <w:b/>
          <w:sz w:val="18"/>
          <w:szCs w:val="18"/>
          <w:vertAlign w:val="superscript"/>
        </w:rPr>
        <w:t>)</w:t>
      </w:r>
      <w:r>
        <w:rPr>
          <w:rFonts w:ascii="Times New Roman" w:hAnsi="Times New Roman" w:cs="Times New Roman"/>
          <w:b/>
          <w:sz w:val="18"/>
          <w:szCs w:val="18"/>
        </w:rPr>
        <w:t xml:space="preserve">, </w:t>
      </w:r>
      <w:r>
        <w:rPr>
          <w:rFonts w:hint="default" w:ascii="Times New Roman" w:hAnsi="Times New Roman" w:cs="Times New Roman"/>
          <w:b/>
          <w:sz w:val="18"/>
          <w:szCs w:val="18"/>
          <w:lang w:val="en-US"/>
        </w:rPr>
        <w:t>Ida Nuraeni</w:t>
      </w:r>
      <w:r>
        <w:rPr>
          <w:rFonts w:hint="default" w:ascii="Times New Roman" w:hAnsi="Times New Roman" w:cs="Times New Roman"/>
          <w:b/>
          <w:sz w:val="18"/>
          <w:szCs w:val="18"/>
          <w:vertAlign w:val="superscript"/>
          <w:lang w:val="en-US"/>
        </w:rPr>
        <w:t>5)</w:t>
      </w:r>
      <w:r>
        <w:rPr>
          <w:rFonts w:hint="default" w:ascii="Times New Roman" w:hAnsi="Times New Roman" w:cs="Times New Roman"/>
          <w:b/>
          <w:sz w:val="18"/>
          <w:szCs w:val="18"/>
          <w:vertAlign w:val="baseline"/>
          <w:lang w:val="en-US"/>
        </w:rPr>
        <w:t>,</w:t>
      </w:r>
      <w:r>
        <w:rPr>
          <w:rFonts w:hint="default" w:ascii="Times New Roman" w:hAnsi="Times New Roman" w:cs="Times New Roman"/>
          <w:b/>
          <w:sz w:val="18"/>
          <w:szCs w:val="18"/>
          <w:lang w:val="en-US"/>
        </w:rPr>
        <w:t xml:space="preserve"> Surahman</w:t>
      </w:r>
      <w:r>
        <w:rPr>
          <w:rFonts w:hint="default" w:ascii="Times New Roman" w:hAnsi="Times New Roman" w:cs="Times New Roman"/>
          <w:b/>
          <w:sz w:val="18"/>
          <w:szCs w:val="18"/>
          <w:vertAlign w:val="superscript"/>
          <w:lang w:val="en-US"/>
        </w:rPr>
        <w:t>6</w:t>
      </w:r>
      <w:r>
        <w:rPr>
          <w:rFonts w:ascii="Times New Roman" w:hAnsi="Times New Roman" w:cs="Times New Roman"/>
          <w:b/>
          <w:sz w:val="18"/>
          <w:szCs w:val="18"/>
          <w:vertAlign w:val="superscript"/>
        </w:rPr>
        <w:t>)</w:t>
      </w:r>
      <w:r>
        <w:rPr>
          <w:rFonts w:ascii="Times New Roman" w:hAnsi="Times New Roman" w:cs="Times New Roman"/>
          <w:b/>
          <w:sz w:val="18"/>
          <w:szCs w:val="18"/>
        </w:rPr>
        <w:t xml:space="preserve"> </w:t>
      </w:r>
    </w:p>
    <w:p w14:paraId="3DC80BE2">
      <w:pPr>
        <w:spacing w:after="0" w:line="240" w:lineRule="auto"/>
        <w:jc w:val="center"/>
        <w:rPr>
          <w:rFonts w:ascii="Times New Roman" w:hAnsi="Times New Roman" w:cs="Times New Roman"/>
          <w:b/>
          <w:color w:val="0070C0"/>
          <w:sz w:val="18"/>
          <w:szCs w:val="18"/>
        </w:rPr>
      </w:pPr>
    </w:p>
    <w:p w14:paraId="7C3DEBC4">
      <w:pPr>
        <w:spacing w:after="0" w:line="240" w:lineRule="auto"/>
        <w:jc w:val="center"/>
        <w:rPr>
          <w:rFonts w:hint="default" w:ascii="Times New Roman" w:hAnsi="Times New Roman" w:cs="Times New Roman"/>
          <w:color w:val="0070C0"/>
          <w:sz w:val="18"/>
          <w:szCs w:val="18"/>
          <w:lang w:val="en-US"/>
        </w:rPr>
      </w:pPr>
      <w:r>
        <w:rPr>
          <w:rFonts w:ascii="Times New Roman" w:hAnsi="Times New Roman" w:cs="Times New Roman"/>
          <w:sz w:val="18"/>
          <w:szCs w:val="18"/>
          <w:vertAlign w:val="superscript"/>
        </w:rPr>
        <w:t>1</w:t>
      </w:r>
      <w:r>
        <w:rPr>
          <w:rFonts w:hint="default" w:ascii="Times New Roman" w:hAnsi="Times New Roman" w:cs="Times New Roman"/>
          <w:sz w:val="18"/>
          <w:szCs w:val="18"/>
          <w:vertAlign w:val="superscript"/>
          <w:lang w:val="en-US"/>
        </w:rPr>
        <w:t xml:space="preserve">,2,3,4,5,6 </w:t>
      </w:r>
      <w:r>
        <w:rPr>
          <w:rFonts w:hint="default" w:ascii="Times New Roman" w:hAnsi="Times New Roman" w:cs="Times New Roman"/>
          <w:sz w:val="18"/>
          <w:szCs w:val="18"/>
          <w:lang w:val="en-US"/>
        </w:rPr>
        <w:t>Universitas Tadulako</w:t>
      </w:r>
    </w:p>
    <w:p w14:paraId="64B71F8A">
      <w:pPr>
        <w:pStyle w:val="16"/>
        <w:rPr>
          <w:rFonts w:hint="default" w:ascii="Times New Roman" w:hAnsi="Times New Roman" w:cs="Times New Roman"/>
          <w:sz w:val="18"/>
          <w:szCs w:val="18"/>
          <w:lang w:val="en-US"/>
        </w:rPr>
      </w:pPr>
      <w:r>
        <w:rPr>
          <w:rFonts w:hint="default" w:ascii="Times New Roman" w:hAnsi="Times New Roman" w:cs="Times New Roman"/>
          <w:sz w:val="18"/>
          <w:szCs w:val="18"/>
          <w:lang w:val="en-US"/>
        </w:rPr>
        <w:t>Jln. Soekarno-Hatta Km. 9 Kota Palu, Sulawesi Tengah</w:t>
      </w:r>
    </w:p>
    <w:p w14:paraId="527923A5">
      <w:pPr>
        <w:pStyle w:val="16"/>
        <w:rPr>
          <w:rFonts w:hint="default" w:ascii="Times New Roman" w:hAnsi="Times New Roman" w:cs="Times New Roman"/>
          <w:sz w:val="18"/>
          <w:szCs w:val="18"/>
          <w:lang w:val="en-US"/>
        </w:rPr>
      </w:pPr>
    </w:p>
    <w:p w14:paraId="4BAA708A">
      <w:pPr>
        <w:pStyle w:val="16"/>
        <w:rPr>
          <w:rFonts w:hint="default" w:ascii="Times New Roman" w:hAnsi="Times New Roman"/>
          <w:sz w:val="18"/>
          <w:szCs w:val="18"/>
        </w:rPr>
      </w:pPr>
      <w:r>
        <w:rPr>
          <w:rFonts w:hint="default" w:ascii="Times New Roman" w:hAnsi="Times New Roman"/>
          <w:sz w:val="18"/>
          <w:szCs w:val="18"/>
        </w:rPr>
        <w:fldChar w:fldCharType="begin"/>
      </w:r>
      <w:r>
        <w:rPr>
          <w:rFonts w:hint="default" w:ascii="Times New Roman" w:hAnsi="Times New Roman"/>
          <w:sz w:val="18"/>
          <w:szCs w:val="18"/>
        </w:rPr>
        <w:instrText xml:space="preserve"> HYPERLINK "mailto:yn505565@gmail.com" </w:instrText>
      </w:r>
      <w:r>
        <w:rPr>
          <w:rFonts w:hint="default" w:ascii="Times New Roman" w:hAnsi="Times New Roman"/>
          <w:sz w:val="18"/>
          <w:szCs w:val="18"/>
        </w:rPr>
        <w:fldChar w:fldCharType="separate"/>
      </w:r>
      <w:r>
        <w:rPr>
          <w:rStyle w:val="8"/>
          <w:rFonts w:hint="default" w:ascii="Times New Roman" w:hAnsi="Times New Roman"/>
          <w:sz w:val="18"/>
          <w:szCs w:val="18"/>
        </w:rPr>
        <w:t>yn505565@gmail.com</w:t>
      </w:r>
      <w:r>
        <w:rPr>
          <w:rFonts w:hint="default" w:ascii="Times New Roman" w:hAnsi="Times New Roman"/>
          <w:sz w:val="18"/>
          <w:szCs w:val="18"/>
        </w:rPr>
        <w:fldChar w:fldCharType="end"/>
      </w:r>
    </w:p>
    <w:p w14:paraId="53861BBD">
      <w:pPr>
        <w:pStyle w:val="16"/>
        <w:rPr>
          <w:rFonts w:hint="default" w:ascii="Times New Roman" w:hAnsi="Times New Roman"/>
          <w:sz w:val="18"/>
          <w:szCs w:val="18"/>
        </w:rPr>
      </w:pPr>
      <w:r>
        <w:rPr>
          <w:rFonts w:hint="default" w:ascii="Times New Roman" w:hAnsi="Times New Roman"/>
          <w:sz w:val="18"/>
          <w:szCs w:val="18"/>
        </w:rPr>
        <w:fldChar w:fldCharType="begin"/>
      </w:r>
      <w:r>
        <w:rPr>
          <w:rFonts w:hint="default" w:ascii="Times New Roman" w:hAnsi="Times New Roman"/>
          <w:sz w:val="18"/>
          <w:szCs w:val="18"/>
        </w:rPr>
        <w:instrText xml:space="preserve"> HYPERLINK "mailto:syamsuddinkoida598@gmail.com" </w:instrText>
      </w:r>
      <w:r>
        <w:rPr>
          <w:rFonts w:hint="default" w:ascii="Times New Roman" w:hAnsi="Times New Roman"/>
          <w:sz w:val="18"/>
          <w:szCs w:val="18"/>
        </w:rPr>
        <w:fldChar w:fldCharType="separate"/>
      </w:r>
      <w:r>
        <w:rPr>
          <w:rStyle w:val="8"/>
          <w:rFonts w:hint="default" w:ascii="Times New Roman" w:hAnsi="Times New Roman"/>
          <w:sz w:val="18"/>
          <w:szCs w:val="18"/>
        </w:rPr>
        <w:t>syamsuddinkoida598@gmail.com</w:t>
      </w:r>
      <w:r>
        <w:rPr>
          <w:rFonts w:hint="default" w:ascii="Times New Roman" w:hAnsi="Times New Roman"/>
          <w:sz w:val="18"/>
          <w:szCs w:val="18"/>
        </w:rPr>
        <w:fldChar w:fldCharType="end"/>
      </w:r>
    </w:p>
    <w:p w14:paraId="6728A161">
      <w:pPr>
        <w:pStyle w:val="16"/>
        <w:rPr>
          <w:rFonts w:hint="default" w:ascii="Times New Roman" w:hAnsi="Times New Roman"/>
          <w:sz w:val="18"/>
          <w:szCs w:val="18"/>
        </w:rPr>
      </w:pPr>
      <w:r>
        <w:rPr>
          <w:rFonts w:hint="default" w:ascii="Times New Roman" w:hAnsi="Times New Roman"/>
          <w:sz w:val="18"/>
          <w:szCs w:val="18"/>
        </w:rPr>
        <w:fldChar w:fldCharType="begin"/>
      </w:r>
      <w:r>
        <w:rPr>
          <w:rFonts w:hint="default" w:ascii="Times New Roman" w:hAnsi="Times New Roman"/>
          <w:sz w:val="18"/>
          <w:szCs w:val="18"/>
        </w:rPr>
        <w:instrText xml:space="preserve"> HYPERLINK "mailto:ulfahnaja75@gmail.com" </w:instrText>
      </w:r>
      <w:r>
        <w:rPr>
          <w:rFonts w:hint="default" w:ascii="Times New Roman" w:hAnsi="Times New Roman"/>
          <w:sz w:val="18"/>
          <w:szCs w:val="18"/>
        </w:rPr>
        <w:fldChar w:fldCharType="separate"/>
      </w:r>
      <w:r>
        <w:rPr>
          <w:rStyle w:val="8"/>
          <w:rFonts w:hint="default" w:ascii="Times New Roman" w:hAnsi="Times New Roman"/>
          <w:sz w:val="18"/>
          <w:szCs w:val="18"/>
        </w:rPr>
        <w:t>ulfahnaja75@gmail.com</w:t>
      </w:r>
      <w:r>
        <w:rPr>
          <w:rFonts w:hint="default" w:ascii="Times New Roman" w:hAnsi="Times New Roman"/>
          <w:sz w:val="18"/>
          <w:szCs w:val="18"/>
        </w:rPr>
        <w:fldChar w:fldCharType="end"/>
      </w:r>
    </w:p>
    <w:p w14:paraId="6E47B7E8">
      <w:pPr>
        <w:pStyle w:val="16"/>
        <w:rPr>
          <w:rFonts w:hint="default" w:ascii="Times New Roman" w:hAnsi="Times New Roman"/>
          <w:sz w:val="18"/>
          <w:szCs w:val="18"/>
        </w:rPr>
      </w:pPr>
      <w:r>
        <w:rPr>
          <w:rFonts w:hint="default" w:ascii="Times New Roman" w:hAnsi="Times New Roman"/>
          <w:sz w:val="18"/>
          <w:szCs w:val="18"/>
        </w:rPr>
        <w:fldChar w:fldCharType="begin"/>
      </w:r>
      <w:r>
        <w:rPr>
          <w:rFonts w:hint="default" w:ascii="Times New Roman" w:hAnsi="Times New Roman"/>
          <w:sz w:val="18"/>
          <w:szCs w:val="18"/>
        </w:rPr>
        <w:instrText xml:space="preserve"> HYPERLINK "mailto:tahir.moh62@gmail.com" </w:instrText>
      </w:r>
      <w:r>
        <w:rPr>
          <w:rFonts w:hint="default" w:ascii="Times New Roman" w:hAnsi="Times New Roman"/>
          <w:sz w:val="18"/>
          <w:szCs w:val="18"/>
        </w:rPr>
        <w:fldChar w:fldCharType="separate"/>
      </w:r>
      <w:r>
        <w:rPr>
          <w:rStyle w:val="8"/>
          <w:rFonts w:hint="default" w:ascii="Times New Roman" w:hAnsi="Times New Roman"/>
          <w:sz w:val="18"/>
          <w:szCs w:val="18"/>
        </w:rPr>
        <w:t>tahir.moh62@gmail.com</w:t>
      </w:r>
      <w:r>
        <w:rPr>
          <w:rFonts w:hint="default" w:ascii="Times New Roman" w:hAnsi="Times New Roman"/>
          <w:sz w:val="18"/>
          <w:szCs w:val="18"/>
        </w:rPr>
        <w:fldChar w:fldCharType="end"/>
      </w:r>
    </w:p>
    <w:p w14:paraId="5E1E79C2">
      <w:pPr>
        <w:pStyle w:val="16"/>
        <w:rPr>
          <w:rFonts w:hint="default" w:ascii="Times New Roman" w:hAnsi="Times New Roman"/>
          <w:sz w:val="18"/>
          <w:szCs w:val="18"/>
          <w:lang w:val="en-US"/>
        </w:rPr>
      </w:pPr>
      <w:r>
        <w:rPr>
          <w:rFonts w:hint="default" w:ascii="Times New Roman" w:hAnsi="Times New Roman"/>
          <w:sz w:val="18"/>
          <w:szCs w:val="18"/>
        </w:rPr>
        <w:fldChar w:fldCharType="begin"/>
      </w:r>
      <w:r>
        <w:rPr>
          <w:rFonts w:hint="default" w:ascii="Times New Roman" w:hAnsi="Times New Roman"/>
          <w:sz w:val="18"/>
          <w:szCs w:val="18"/>
        </w:rPr>
        <w:instrText xml:space="preserve"> HYPERLINK "mailto:idanuraeni@untad.ac.id" </w:instrText>
      </w:r>
      <w:r>
        <w:rPr>
          <w:rFonts w:hint="default" w:ascii="Times New Roman" w:hAnsi="Times New Roman"/>
          <w:sz w:val="18"/>
          <w:szCs w:val="18"/>
        </w:rPr>
        <w:fldChar w:fldCharType="separate"/>
      </w:r>
      <w:r>
        <w:rPr>
          <w:rStyle w:val="8"/>
          <w:rFonts w:hint="default" w:ascii="Times New Roman" w:hAnsi="Times New Roman"/>
          <w:sz w:val="18"/>
          <w:szCs w:val="18"/>
        </w:rPr>
        <w:t>idanuraeni@untad.ac.id</w:t>
      </w:r>
      <w:r>
        <w:rPr>
          <w:rFonts w:hint="default" w:ascii="Times New Roman" w:hAnsi="Times New Roman"/>
          <w:sz w:val="18"/>
          <w:szCs w:val="18"/>
        </w:rPr>
        <w:fldChar w:fldCharType="end"/>
      </w:r>
      <w:r>
        <w:rPr>
          <w:rFonts w:hint="default" w:ascii="Times New Roman" w:hAnsi="Times New Roman"/>
          <w:sz w:val="18"/>
          <w:szCs w:val="18"/>
          <w:lang w:val="en-US"/>
        </w:rPr>
        <w:t xml:space="preserve"> </w:t>
      </w:r>
      <w:bookmarkStart w:id="0" w:name="_GoBack"/>
      <w:bookmarkEnd w:id="0"/>
    </w:p>
    <w:p w14:paraId="0B2CF7B0">
      <w:pPr>
        <w:pStyle w:val="16"/>
        <w:rPr>
          <w:rFonts w:hint="default" w:ascii="Times New Roman" w:hAnsi="Times New Roman"/>
          <w:sz w:val="18"/>
          <w:szCs w:val="18"/>
          <w:lang w:val="en-US"/>
        </w:rPr>
      </w:pPr>
      <w:r>
        <w:rPr>
          <w:rFonts w:hint="default" w:ascii="Times New Roman" w:hAnsi="Times New Roman"/>
          <w:sz w:val="18"/>
          <w:szCs w:val="18"/>
          <w:lang w:val="en-US"/>
        </w:rPr>
        <w:fldChar w:fldCharType="begin"/>
      </w:r>
      <w:r>
        <w:rPr>
          <w:rFonts w:hint="default" w:ascii="Times New Roman" w:hAnsi="Times New Roman"/>
          <w:sz w:val="18"/>
          <w:szCs w:val="18"/>
          <w:lang w:val="en-US"/>
        </w:rPr>
        <w:instrText xml:space="preserve"> HYPERLINK "mailto:surahmanwilade@gmail.com" </w:instrText>
      </w:r>
      <w:r>
        <w:rPr>
          <w:rFonts w:hint="default" w:ascii="Times New Roman" w:hAnsi="Times New Roman"/>
          <w:sz w:val="18"/>
          <w:szCs w:val="18"/>
          <w:lang w:val="en-US"/>
        </w:rPr>
        <w:fldChar w:fldCharType="separate"/>
      </w:r>
      <w:r>
        <w:rPr>
          <w:rStyle w:val="8"/>
          <w:rFonts w:hint="default" w:ascii="Times New Roman" w:hAnsi="Times New Roman"/>
          <w:sz w:val="18"/>
          <w:szCs w:val="18"/>
          <w:lang w:val="en-US"/>
        </w:rPr>
        <w:t>surahmanwilade@gmail.com</w:t>
      </w:r>
      <w:r>
        <w:rPr>
          <w:rFonts w:hint="default" w:ascii="Times New Roman" w:hAnsi="Times New Roman"/>
          <w:sz w:val="18"/>
          <w:szCs w:val="18"/>
          <w:lang w:val="en-US"/>
        </w:rPr>
        <w:fldChar w:fldCharType="end"/>
      </w:r>
      <w:r>
        <w:rPr>
          <w:rFonts w:hint="default" w:ascii="Times New Roman" w:hAnsi="Times New Roman"/>
          <w:sz w:val="18"/>
          <w:szCs w:val="18"/>
          <w:lang w:val="en-US"/>
        </w:rPr>
        <w:t xml:space="preserve"> </w:t>
      </w:r>
    </w:p>
    <w:p w14:paraId="50672329">
      <w:pPr>
        <w:spacing w:before="120" w:after="120"/>
        <w:jc w:val="both"/>
        <w:rPr>
          <w:rFonts w:ascii="Times New Roman" w:hAnsi="Times New Roman" w:cs="Times New Roman"/>
          <w:b/>
          <w:sz w:val="20"/>
          <w:szCs w:val="20"/>
        </w:rPr>
      </w:pPr>
    </w:p>
    <w:p w14:paraId="1FBCBAAE">
      <w:pPr>
        <w:spacing w:before="120" w:after="120"/>
        <w:jc w:val="center"/>
        <w:rPr>
          <w:rFonts w:ascii="Times New Roman" w:hAnsi="Times New Roman" w:cs="Times New Roman"/>
          <w:b/>
          <w:sz w:val="20"/>
        </w:rPr>
      </w:pPr>
      <w:r>
        <w:rPr>
          <w:rFonts w:ascii="Times New Roman" w:hAnsi="Times New Roman" w:cs="Times New Roman"/>
          <w:b/>
          <w:sz w:val="20"/>
        </w:rPr>
        <w:t xml:space="preserve">Abstrak </w:t>
      </w:r>
      <w:r>
        <w:rPr>
          <w:rFonts w:ascii="Times New Roman" w:hAnsi="Times New Roman" w:cs="Times New Roman"/>
          <w:b/>
          <w:color w:val="0070C0"/>
          <w:sz w:val="20"/>
        </w:rPr>
        <w:t>[</w:t>
      </w:r>
      <w:r>
        <w:rPr>
          <w:rFonts w:ascii="Times New Roman" w:hAnsi="Times New Roman" w:cs="Times New Roman"/>
          <w:b/>
          <w:i/>
          <w:iCs/>
          <w:color w:val="0070C0"/>
          <w:sz w:val="20"/>
        </w:rPr>
        <w:t>Times New Roman 10 Cetak Tebal dan Miring</w:t>
      </w:r>
      <w:r>
        <w:rPr>
          <w:rFonts w:ascii="Times New Roman" w:hAnsi="Times New Roman" w:cs="Times New Roman"/>
          <w:b/>
          <w:color w:val="0070C0"/>
          <w:sz w:val="20"/>
        </w:rPr>
        <w:t>]</w:t>
      </w:r>
    </w:p>
    <w:p w14:paraId="2652766F">
      <w:pPr>
        <w:autoSpaceDE w:val="0"/>
        <w:spacing w:after="120" w:line="240" w:lineRule="auto"/>
        <w:jc w:val="both"/>
        <w:rPr>
          <w:rFonts w:ascii="Times New Roman" w:hAnsi="Times New Roman" w:cs="Times New Roman"/>
          <w:color w:val="00B0F0"/>
          <w:sz w:val="20"/>
        </w:rPr>
      </w:pPr>
      <w:r>
        <w:rPr>
          <w:rFonts w:hint="default" w:ascii="Times New Roman" w:hAnsi="Times New Roman"/>
          <w:sz w:val="20"/>
        </w:rPr>
        <w:t>Penelitian tindakan kelas ini bertujuan untuk meningkatkan kemampuan siswa kelas I SDN 2 Tatura (Kelas 1B) dalam membaca kalimat sederhana pada mata pelajaran Bahasa Indonesia. Subjek penelitian terdiri dari 28 siswa yang terdiri dari 16 siswa laki-laki dan 12 siswa perempuan. Penelitian ini menggunakan desain penelitian tindakan kelas (PTK) yang dilaksanakan dalam dua siklus. Setiap siklus meliputi empat tahap sistematis: (a) Perencanaan, (b) Pelaksanaan Tindakan, (c) Observasi, dan (d) Refleksi. Masalah inti yang dibahas dalam penelitian ini adalah rendahnya kemampuan siswa dalam membaca kalimat sederhana. Untuk mengatasi masalah tersebut, metode Membaca Menulis Permulaan (MMP) diterapkan sebagai intervensi. Data dikumpulkan melalui lembar observasi guru dan siswa serta tes hasil belajar menggunakan lembar kerja siswa (LKPD). Hasil temuan dari Siklus I menunjukkan bahwa persentase siswa yang mencapai kriteria ketuntasan minimal (ketuntasan klasikal) adalah 75%. Pada Siklus II, persentase ini meningkat secara signifikan menjadi 93%. Berdasarkan hasil penelitian tersebut dapat disimpulkan bahwa penerapan metode membaca awal dan menulis efektif meningkatkan kemampuan membaca kalimat sederhana siswa kelas 1B SDN 2 Tatura pada mata pelajaran bahasa Indonesia.</w:t>
      </w:r>
    </w:p>
    <w:p w14:paraId="44965644">
      <w:pPr>
        <w:autoSpaceDE w:val="0"/>
        <w:spacing w:after="120"/>
        <w:ind w:left="1985" w:hanging="1985"/>
        <w:jc w:val="both"/>
        <w:rPr>
          <w:rFonts w:ascii="Times New Roman" w:hAnsi="Times New Roman" w:cs="Times New Roman"/>
          <w:sz w:val="20"/>
        </w:rPr>
      </w:pPr>
      <w:r>
        <w:rPr>
          <w:rFonts w:ascii="Times New Roman" w:hAnsi="Times New Roman" w:cs="Times New Roman"/>
          <w:b/>
          <w:sz w:val="20"/>
        </w:rPr>
        <w:t>Kata Kunci:</w:t>
      </w:r>
      <w:r>
        <w:rPr>
          <w:rFonts w:ascii="Times New Roman" w:hAnsi="Times New Roman" w:cs="Times New Roman"/>
          <w:bCs/>
          <w:sz w:val="20"/>
        </w:rPr>
        <w:t xml:space="preserve"> </w:t>
      </w:r>
      <w:r>
        <w:rPr>
          <w:rFonts w:hint="default" w:ascii="Times New Roman" w:hAnsi="Times New Roman"/>
          <w:sz w:val="20"/>
        </w:rPr>
        <w:t>Metode Membaca Menulis Pemula, Kemampuan Membaca Kalimat Sederhana, Bahasa Indonesia</w:t>
      </w:r>
    </w:p>
    <w:p w14:paraId="567855A7">
      <w:pPr>
        <w:autoSpaceDE w:val="0"/>
        <w:spacing w:after="0"/>
        <w:ind w:left="1985" w:hanging="1985"/>
        <w:jc w:val="both"/>
        <w:rPr>
          <w:rFonts w:ascii="Times New Roman" w:hAnsi="Times New Roman" w:cs="Times New Roman"/>
          <w:sz w:val="20"/>
        </w:rPr>
      </w:pPr>
    </w:p>
    <w:p w14:paraId="617AD789">
      <w:pPr>
        <w:autoSpaceDE w:val="0"/>
        <w:spacing w:after="120"/>
        <w:ind w:left="1843" w:hanging="1843"/>
        <w:jc w:val="center"/>
        <w:rPr>
          <w:rFonts w:ascii="Times New Roman" w:hAnsi="Times New Roman" w:cs="Times New Roman"/>
          <w:i/>
          <w:color w:val="0070C0"/>
          <w:sz w:val="20"/>
        </w:rPr>
      </w:pPr>
      <w:r>
        <w:rPr>
          <w:rFonts w:ascii="Times New Roman" w:hAnsi="Times New Roman" w:cs="Times New Roman"/>
          <w:b/>
          <w:i/>
          <w:sz w:val="20"/>
        </w:rPr>
        <w:t xml:space="preserve">Abstract </w:t>
      </w:r>
      <w:r>
        <w:rPr>
          <w:rFonts w:ascii="Times New Roman" w:hAnsi="Times New Roman" w:cs="Times New Roman"/>
          <w:i/>
          <w:color w:val="0070C0"/>
          <w:sz w:val="20"/>
        </w:rPr>
        <w:t>[Times New Roman 10 Print Thick and Slanted]</w:t>
      </w:r>
    </w:p>
    <w:p w14:paraId="40AB83E0">
      <w:pPr>
        <w:autoSpaceDE w:val="0"/>
        <w:spacing w:after="120" w:line="240" w:lineRule="auto"/>
        <w:jc w:val="both"/>
        <w:rPr>
          <w:rFonts w:ascii="Times New Roman" w:hAnsi="Times New Roman" w:cs="Times New Roman"/>
          <w:i/>
          <w:color w:val="0070C0"/>
          <w:sz w:val="20"/>
        </w:rPr>
      </w:pPr>
      <w:r>
        <w:rPr>
          <w:rFonts w:hint="default" w:ascii="Times New Roman" w:hAnsi="Times New Roman"/>
          <w:bCs/>
          <w:i/>
          <w:sz w:val="20"/>
        </w:rPr>
        <w:t>This classroom action research aimed to improve the ability of first-grade students at SDN 2 Tatura (Class 1B) to read simple sentences in the Indonesian language subject. The research subjects consisted of 28 students, including 16 boys and 12 girls. The study employed a classroom action research (CAR) design, which was conducted in two cycles. Each cycle included four systematic stages: (a) Planning, (b) Implementation of Action, (c) Observation, and (d) Reflection. The core problem addressed in this study was the students' low ability to read simple sentences. To address this issue, the initial reading and writing (Membaca Menulis Permulaan/MMP) method was applied as the intervention. Data were collected through teacher and student observation sheets as well as learning outcome tests using student worksheets (LKPD). The findings from Cycle I showed that the percentage of students achieving the minimum mastery criterion (classical completeness) was 75%. In Cycle II, this percentage increased significantly to 93%. Based on these results, it can be concluded that the implementation of the initial reading and writing method effectively improved the ability of Class 1B students at SDN 2 Tatura to read simple sentences in the Indonesian language subject.</w:t>
      </w:r>
    </w:p>
    <w:p w14:paraId="0EEF11CD">
      <w:pPr>
        <w:autoSpaceDE w:val="0"/>
        <w:spacing w:after="120" w:line="240" w:lineRule="auto"/>
        <w:ind w:left="1843" w:hanging="1843"/>
        <w:jc w:val="both"/>
        <w:rPr>
          <w:rFonts w:ascii="Times New Roman" w:hAnsi="Times New Roman" w:cs="Times New Roman"/>
          <w:bCs/>
          <w:i/>
          <w:sz w:val="20"/>
        </w:rPr>
        <w:sectPr>
          <w:headerReference r:id="rId5" w:type="default"/>
          <w:footerReference r:id="rId6" w:type="default"/>
          <w:pgSz w:w="12240" w:h="15840"/>
          <w:pgMar w:top="1440" w:right="1440" w:bottom="1440" w:left="1440" w:header="720" w:footer="720" w:gutter="0"/>
          <w:cols w:space="708" w:num="1"/>
          <w:docGrid w:linePitch="360" w:charSpace="0"/>
        </w:sectPr>
      </w:pPr>
      <w:r>
        <w:rPr>
          <w:rFonts w:ascii="Times New Roman" w:hAnsi="Times New Roman" w:cs="Times New Roman"/>
          <w:b/>
          <w:i/>
          <w:sz w:val="20"/>
        </w:rPr>
        <w:t>Keywords:</w:t>
      </w:r>
      <w:r>
        <w:rPr>
          <w:rFonts w:ascii="Times New Roman" w:hAnsi="Times New Roman" w:cs="Times New Roman"/>
          <w:bCs/>
          <w:i/>
          <w:sz w:val="20"/>
        </w:rPr>
        <w:t xml:space="preserve"> </w:t>
      </w:r>
      <w:r>
        <w:rPr>
          <w:rFonts w:hint="default" w:ascii="Times New Roman" w:hAnsi="Times New Roman"/>
          <w:bCs/>
          <w:i/>
          <w:sz w:val="20"/>
        </w:rPr>
        <w:t>Beginning Reading Writing Method, Simple Sentence Reading Ability, Indonesian</w:t>
      </w:r>
    </w:p>
    <w:p w14:paraId="048AAEC2">
      <w:pPr>
        <w:pStyle w:val="2"/>
        <w:numPr>
          <w:ilvl w:val="0"/>
          <w:numId w:val="1"/>
        </w:numPr>
        <w:tabs>
          <w:tab w:val="left" w:pos="360"/>
        </w:tabs>
        <w:suppressAutoHyphens/>
        <w:spacing w:before="240" w:after="120"/>
        <w:ind w:left="274" w:hanging="274"/>
        <w:rPr>
          <w:i w:val="0"/>
          <w:color w:val="0070C0"/>
          <w:sz w:val="22"/>
          <w:szCs w:val="22"/>
        </w:rPr>
      </w:pPr>
      <w:r>
        <w:rPr>
          <w:i w:val="0"/>
          <w:sz w:val="22"/>
          <w:szCs w:val="22"/>
        </w:rPr>
        <w:t xml:space="preserve">PENDAHULUAN </w:t>
      </w:r>
      <w:r>
        <w:rPr>
          <w:i w:val="0"/>
          <w:color w:val="0070C0"/>
          <w:sz w:val="22"/>
          <w:szCs w:val="22"/>
        </w:rPr>
        <w:t>[Times New Roman 11 bold]</w:t>
      </w:r>
    </w:p>
    <w:p w14:paraId="2CBE7A6F">
      <w:pPr>
        <w:spacing w:after="240" w:line="276" w:lineRule="auto"/>
        <w:ind w:firstLine="284"/>
        <w:jc w:val="both"/>
        <w:rPr>
          <w:rFonts w:hint="default" w:ascii="Times New Roman" w:hAnsi="Times New Roman"/>
        </w:rPr>
      </w:pPr>
      <w:r>
        <w:rPr>
          <w:rFonts w:hint="default" w:ascii="Times New Roman" w:hAnsi="Times New Roman"/>
        </w:rPr>
        <w:t>Education serves as a foundational pillar for individual development and societal progress. It is a critical means by which individuals achieve personal aspirations and contribute meaningfully to their communities. At the heart of this system lies primary education, particularly the mastery of fundamental literacy skills such as early reading and writing. These foundational competencies are vital for shaping students’ cognitive growth, academic achievement, and long-term learning motivation (Ayuningtyas et al., 2025). However, despite the recognized importance of early literacy, many young learners in Indonesian primary schools continue to struggle with basic reading skills.</w:t>
      </w:r>
    </w:p>
    <w:p w14:paraId="241C8F5B">
      <w:pPr>
        <w:spacing w:after="240" w:line="276" w:lineRule="auto"/>
        <w:ind w:firstLine="284"/>
        <w:jc w:val="both"/>
        <w:rPr>
          <w:rFonts w:hint="default" w:ascii="Times New Roman" w:hAnsi="Times New Roman"/>
        </w:rPr>
      </w:pPr>
      <w:r>
        <w:rPr>
          <w:rFonts w:hint="default" w:ascii="Times New Roman" w:hAnsi="Times New Roman"/>
        </w:rPr>
        <w:t>Preliminary observations conducted in Class 1B of SDN 2 Tatura revealed an alarming reality: only 8 out of 28 students could effectively recognize letters and read simple sentences, while the majority were unable to decode or comprehend even basic textual content. This translated into a formative assessment score average of 50.71%, which falls significantly below the school’s established Minimum Mastery Criteria (KKM) of 70. Such findings suggest the presence of systemic issues in the delivery of reading instruction during early education.</w:t>
      </w:r>
    </w:p>
    <w:p w14:paraId="6C701A29">
      <w:pPr>
        <w:spacing w:after="240" w:line="276" w:lineRule="auto"/>
        <w:ind w:firstLine="284"/>
        <w:jc w:val="both"/>
        <w:rPr>
          <w:rFonts w:hint="default" w:ascii="Times New Roman" w:hAnsi="Times New Roman"/>
        </w:rPr>
      </w:pPr>
      <w:r>
        <w:rPr>
          <w:rFonts w:hint="default" w:ascii="Times New Roman" w:hAnsi="Times New Roman"/>
        </w:rPr>
        <w:t>Traditionally, reading instruction in many Indonesian classrooms, including SDN 2 Tatura, has relied heavily on conventional, teacher-centered methods. In this approach, educators demonstrate reading aloud while students passively repeat the words without active cognitive engagement or decoding practice. Consequently, many students resort to rote memorization rather than understanding letter-sound relationships or recognizing word patterns—critical components of emergent literacy. As Apps, Beckman, and Howard (2023) highlight in their study on digital reading platforms in Australian schools, passive engagement with reading content can diminish students’ ability to meaningfully interact with text and hampers the development of authentic literacy skills.</w:t>
      </w:r>
    </w:p>
    <w:p w14:paraId="39CE78CF">
      <w:pPr>
        <w:spacing w:after="240" w:line="276" w:lineRule="auto"/>
        <w:ind w:firstLine="284"/>
        <w:jc w:val="both"/>
        <w:rPr>
          <w:rFonts w:hint="default" w:ascii="Times New Roman" w:hAnsi="Times New Roman"/>
        </w:rPr>
      </w:pPr>
      <w:r>
        <w:rPr>
          <w:rFonts w:hint="default" w:ascii="Times New Roman" w:hAnsi="Times New Roman"/>
        </w:rPr>
        <w:t>Moreover, limited opportunities for guided reading practice in such environments further exacerbate students’ learning difficulties. The absence of interactive and differentiated instructional strategies fails to address the varying literacy needs of students, especially those who enter school without prior exposure to reading. As Dewani et al. (2025) argue, a lack of alignment between pedagogical practices and students’ reading interests significantly affects both motivation and performance in literacy tasks.</w:t>
      </w:r>
    </w:p>
    <w:p w14:paraId="3172B63C">
      <w:pPr>
        <w:spacing w:after="240" w:line="276" w:lineRule="auto"/>
        <w:ind w:firstLine="284"/>
        <w:jc w:val="both"/>
        <w:rPr>
          <w:rFonts w:hint="default" w:ascii="Times New Roman" w:hAnsi="Times New Roman"/>
        </w:rPr>
      </w:pPr>
      <w:r>
        <w:rPr>
          <w:rFonts w:hint="default" w:ascii="Times New Roman" w:hAnsi="Times New Roman"/>
        </w:rPr>
        <w:t>Numerous methods have been introduced in Indonesian education to improve early reading skills, such as the Syllabic Method, SAS (Structural Analytic Synthetics), and Global Method. However, the gap between theoretical pedagogical innovation and its practical classroom implementation remains wide. Many of these methods have not been fully adapted to actively engage learners intellectually, emotionally, and socially. According to Handayani and Adi (2025), incorporating culturally relevant and multisensory learning media in literacy instruction can significantly enhance students’ participation and comprehension, especially in early grades.</w:t>
      </w:r>
    </w:p>
    <w:p w14:paraId="61C97A23">
      <w:pPr>
        <w:spacing w:after="240" w:line="276" w:lineRule="auto"/>
        <w:ind w:firstLine="284"/>
        <w:jc w:val="both"/>
        <w:rPr>
          <w:rFonts w:hint="default" w:ascii="Times New Roman" w:hAnsi="Times New Roman"/>
        </w:rPr>
      </w:pPr>
      <w:r>
        <w:rPr>
          <w:rFonts w:hint="default" w:ascii="Times New Roman" w:hAnsi="Times New Roman"/>
        </w:rPr>
        <w:t>Research by Juneli et al. (2025) supports the adoption of strategies such as Preview, Question, Read, Summarize, and Test (PQRST) to develop reading fluency and comprehension in primary students. These strategies promote metacognitive engagement and allow learners to take ownership of their reading process. Yet, such methodologies are rarely integrated in the Indonesian early childhood curriculum in a systematic and sustained manner. The persistence of low reading achievement, as observed in SDN 2 Tatura, highlights the urgent need for a paradigm shift in early literacy instruction.</w:t>
      </w:r>
    </w:p>
    <w:p w14:paraId="7C2E754F">
      <w:pPr>
        <w:spacing w:after="240" w:line="276" w:lineRule="auto"/>
        <w:ind w:firstLine="284"/>
        <w:jc w:val="both"/>
        <w:rPr>
          <w:rFonts w:hint="default" w:ascii="Times New Roman" w:hAnsi="Times New Roman"/>
        </w:rPr>
      </w:pPr>
      <w:r>
        <w:rPr>
          <w:rFonts w:hint="default" w:ascii="Times New Roman" w:hAnsi="Times New Roman"/>
        </w:rPr>
        <w:t>In addition, the development of early literacy cannot be isolated from broader educational inequalities and systemic disadvantages. Driessen and Merry (2014) emphasize that socioeconomic disparities and under-resourced school environments significantly contribute to early learning gaps. In this context, a one-size-fits-all teaching approach fails to support students who come from diverse linguistic and cultural backgrounds, including those in Indonesian public schools where access to print-rich environments may be limited.</w:t>
      </w:r>
    </w:p>
    <w:p w14:paraId="26218161">
      <w:pPr>
        <w:spacing w:after="240" w:line="276" w:lineRule="auto"/>
        <w:ind w:firstLine="284"/>
        <w:jc w:val="both"/>
        <w:rPr>
          <w:rFonts w:hint="default" w:ascii="Times New Roman" w:hAnsi="Times New Roman"/>
        </w:rPr>
      </w:pPr>
      <w:r>
        <w:rPr>
          <w:rFonts w:hint="default" w:ascii="Times New Roman" w:hAnsi="Times New Roman"/>
        </w:rPr>
        <w:t>To overcome such barriers, innovative pedagogical models must be designed to emphasize student-centered learning, contextual relevance, and multimodal engagement. For instance, Salamah and Sarjiyem (2025) found that game-based educational media had a positive influence on the early reading development of kindergarten children by enhancing associative learning and motivation. Similarly, Nurani and Mahendra (2019) demonstrated the effectiveness of “Big Book” media in developing beginning reading skills through visual and interactive storytelling in primary schools.</w:t>
      </w:r>
    </w:p>
    <w:p w14:paraId="10F80416">
      <w:pPr>
        <w:spacing w:after="240" w:line="276" w:lineRule="auto"/>
        <w:ind w:firstLine="284"/>
        <w:jc w:val="both"/>
        <w:rPr>
          <w:rFonts w:hint="default" w:ascii="Times New Roman" w:hAnsi="Times New Roman"/>
        </w:rPr>
      </w:pPr>
      <w:r>
        <w:rPr>
          <w:rFonts w:hint="default" w:ascii="Times New Roman" w:hAnsi="Times New Roman"/>
        </w:rPr>
        <w:t>In the same vein, Bist and Kandel (2024) advocate for a Reader Response Approach that fosters interpretative reading and deeper engagement with texts, particularly in English as a Foreign Language (EFL) contexts. While such an approach may require adaptation for early readers, the underlying principle—active learner involvement in constructing textual meaning—remains relevant to the development of reading proficiency in early childhood education.</w:t>
      </w:r>
    </w:p>
    <w:p w14:paraId="06A4E5DC">
      <w:pPr>
        <w:spacing w:after="240" w:line="276" w:lineRule="auto"/>
        <w:ind w:firstLine="284"/>
        <w:jc w:val="both"/>
        <w:rPr>
          <w:rFonts w:hint="default" w:ascii="Times New Roman" w:hAnsi="Times New Roman"/>
        </w:rPr>
      </w:pPr>
      <w:r>
        <w:rPr>
          <w:rFonts w:hint="default" w:ascii="Times New Roman" w:hAnsi="Times New Roman"/>
        </w:rPr>
        <w:t>The research by Ayuningtyas et al. (2025) also underscores the value of the phonics method in teaching beginning reading through specialized media. Their findings revealed significant improvements in letter-sound awareness, decoding ability, and word recognition among primary school students using targeted phonics instruction. These outcomes reinforce the notion that systematic and explicit phonics-based strategies can address the foundational gaps in early reading.</w:t>
      </w:r>
    </w:p>
    <w:p w14:paraId="087AE19D">
      <w:pPr>
        <w:spacing w:after="240" w:line="276" w:lineRule="auto"/>
        <w:ind w:firstLine="284"/>
        <w:jc w:val="both"/>
        <w:rPr>
          <w:rFonts w:hint="default" w:ascii="Times New Roman" w:hAnsi="Times New Roman"/>
        </w:rPr>
      </w:pPr>
      <w:r>
        <w:rPr>
          <w:rFonts w:hint="default" w:ascii="Times New Roman" w:hAnsi="Times New Roman"/>
        </w:rPr>
        <w:t>Incorporating culturally grounded materials can further enrich the learning process and make literacy instruction more meaningful. Erni (2023), for example, developed a local wisdom-based e-module for reading and writing courses in Indonesia, demonstrating that culturally contextualized content can deepen students’ engagement and understanding of text. This approach aligns with the increasing call for localized and inclusive curricula that reflect the linguistic and sociocultural realities of students.</w:t>
      </w:r>
    </w:p>
    <w:p w14:paraId="63958D38">
      <w:pPr>
        <w:spacing w:after="240" w:line="276" w:lineRule="auto"/>
        <w:ind w:firstLine="284"/>
        <w:jc w:val="both"/>
        <w:rPr>
          <w:rFonts w:hint="default" w:ascii="Times New Roman" w:hAnsi="Times New Roman"/>
        </w:rPr>
      </w:pPr>
      <w:r>
        <w:rPr>
          <w:rFonts w:hint="default" w:ascii="Times New Roman" w:hAnsi="Times New Roman"/>
        </w:rPr>
        <w:t>Therefore, this study is initiated to investigate how the implementation of an improved Beginning Reading and Writing (Membaca Menulis Permulaan/MMP) method can enhance the ability of students in Class 1B at SDN 2 Tatura to read simple sentences. The purpose of this study is twofold: (1) to describe the practical application of the MMP method in a real classroom setting, and (2) to analyze its effectiveness in increasing early reading proficiency among struggling learners.</w:t>
      </w:r>
    </w:p>
    <w:p w14:paraId="16B59CEF">
      <w:pPr>
        <w:spacing w:after="240" w:line="276" w:lineRule="auto"/>
        <w:ind w:firstLine="284"/>
        <w:jc w:val="both"/>
        <w:rPr>
          <w:rFonts w:hint="default" w:ascii="Times New Roman" w:hAnsi="Times New Roman"/>
        </w:rPr>
      </w:pPr>
      <w:r>
        <w:rPr>
          <w:rFonts w:hint="default" w:ascii="Times New Roman" w:hAnsi="Times New Roman"/>
        </w:rPr>
        <w:t>It is expected that through a systematic and student-centered approach, the MMP method will empower students to overcome their reading difficulties and build confidence in their literacy skills. Moreover, by promoting mental, physical, and social engagement in literacy activities, the intervention aims to foster a more inclusive and supportive learning environment. This aligns with the findings of Kiziltas, Şata, and Elkonca (2023), who emphasized the importance of fair and responsive assessment strategies in supporting the development of reading comprehension in disadvantaged primary school students.</w:t>
      </w:r>
    </w:p>
    <w:p w14:paraId="68683B59">
      <w:pPr>
        <w:spacing w:after="240" w:line="276" w:lineRule="auto"/>
        <w:ind w:firstLine="284"/>
        <w:jc w:val="both"/>
        <w:rPr>
          <w:rFonts w:ascii="Times New Roman" w:hAnsi="Times New Roman" w:cs="Times New Roman"/>
          <w:color w:val="0070C0"/>
        </w:rPr>
      </w:pPr>
      <w:r>
        <w:rPr>
          <w:rFonts w:hint="default" w:ascii="Times New Roman" w:hAnsi="Times New Roman"/>
        </w:rPr>
        <w:t>In conclusion, this study seeks to contribute both theoretically and practically to the field of elementary literacy education in Indonesia. It is anticipated that the findings will not only inform classroom practices but also guide policymakers and educators in designing more effective literacy interventions for early learners. As Kartikasari and Nuryasana (2022) argue, sustainable literacy development requires ongoing collaboration among schools, communities, and educational institutions to nurture a culture of reading from the earliest stages of formal education</w:t>
      </w:r>
      <w:r>
        <w:rPr>
          <w:rFonts w:ascii="Times New Roman" w:hAnsi="Times New Roman" w:cs="Times New Roman"/>
          <w:color w:val="0070C0"/>
        </w:rPr>
        <w:t>.</w:t>
      </w:r>
    </w:p>
    <w:p w14:paraId="01B9C28B">
      <w:pPr>
        <w:pStyle w:val="2"/>
        <w:numPr>
          <w:ilvl w:val="0"/>
          <w:numId w:val="1"/>
        </w:numPr>
        <w:tabs>
          <w:tab w:val="left" w:pos="360"/>
        </w:tabs>
        <w:suppressAutoHyphens/>
        <w:spacing w:before="360" w:after="120"/>
        <w:ind w:left="270" w:hanging="270"/>
        <w:rPr>
          <w:i w:val="0"/>
          <w:sz w:val="22"/>
          <w:szCs w:val="22"/>
        </w:rPr>
      </w:pPr>
      <w:r>
        <w:rPr>
          <w:i w:val="0"/>
          <w:sz w:val="22"/>
          <w:szCs w:val="22"/>
        </w:rPr>
        <w:t>METODE</w:t>
      </w:r>
    </w:p>
    <w:p w14:paraId="077A6295">
      <w:pPr>
        <w:spacing w:after="120" w:line="276" w:lineRule="auto"/>
        <w:ind w:firstLine="284"/>
        <w:jc w:val="both"/>
        <w:rPr>
          <w:rFonts w:hint="default" w:ascii="Times New Roman" w:hAnsi="Times New Roman"/>
        </w:rPr>
      </w:pPr>
      <w:r>
        <w:rPr>
          <w:rFonts w:hint="default" w:ascii="Times New Roman" w:hAnsi="Times New Roman"/>
        </w:rPr>
        <w:t>This study employed Classroom Action Research (CAR) to improve the quality of early reading and writing instruction for first-grade students at SDN 2 Tatura, Class 1B. CAR is particularly suitable because it enables teachers to act as researchers, allowing for direct reflection and pedagogical adjustments in real classroom settings (Jones &amp; Harvey, 2020). The research was conducted over two cycles, each consisting of a single lesson session. Each cycle followed four structured stages: planning, action, observation, and reflection.</w:t>
      </w:r>
    </w:p>
    <w:p w14:paraId="788C0782">
      <w:pPr>
        <w:spacing w:after="120" w:line="276" w:lineRule="auto"/>
        <w:ind w:firstLine="284"/>
        <w:jc w:val="both"/>
        <w:rPr>
          <w:rFonts w:hint="default" w:ascii="Times New Roman" w:hAnsi="Times New Roman"/>
        </w:rPr>
      </w:pPr>
      <w:r>
        <w:rPr>
          <w:rFonts w:hint="default" w:ascii="Times New Roman" w:hAnsi="Times New Roman"/>
        </w:rPr>
        <w:t>The participants included 28 students (14 boys and 14 girls) and the classroom teacher, who collaborated in observation and reflection. Learning materials such as teaching modules, media, student worksheets, and observation sheets were developed during the planning stage. Media were selected based on the pedagogical needs of each session to enhance student engagement with reading and writing tasks, consistent with findings that varied instructional designs significantly influence learning outcomes (Indriani &amp; Ramadhan, 2025).</w:t>
      </w:r>
    </w:p>
    <w:p w14:paraId="5177BEB2">
      <w:pPr>
        <w:spacing w:after="120" w:line="276" w:lineRule="auto"/>
        <w:ind w:firstLine="284"/>
        <w:jc w:val="both"/>
        <w:rPr>
          <w:rFonts w:hint="default" w:ascii="Times New Roman" w:hAnsi="Times New Roman"/>
        </w:rPr>
      </w:pPr>
      <w:r>
        <w:rPr>
          <w:rFonts w:hint="default" w:ascii="Times New Roman" w:hAnsi="Times New Roman"/>
        </w:rPr>
        <w:t>Quantitative data were gathered through student test scores at the end of each cycle, while qualitative data were obtained from classroom observations focused on teacher and student activities. Instruments were validated through collaboration with the classroom teacher to ensure alignment with instructional objectives. Observational indicators measured cognitive engagement as well as affective and social behaviors, echoing the emphasis on comprehensive literacy experiences highlighted by Goodwyn (2014).</w:t>
      </w:r>
    </w:p>
    <w:p w14:paraId="47E71FE5">
      <w:pPr>
        <w:spacing w:after="120" w:line="276" w:lineRule="auto"/>
        <w:ind w:firstLine="284"/>
        <w:jc w:val="both"/>
        <w:rPr>
          <w:rFonts w:hint="default" w:ascii="Times New Roman" w:hAnsi="Times New Roman"/>
        </w:rPr>
      </w:pPr>
      <w:r>
        <w:rPr>
          <w:rFonts w:hint="default" w:ascii="Times New Roman" w:hAnsi="Times New Roman"/>
        </w:rPr>
        <w:t>Data analysis included calculating individual and class-level learning mastery, and using the Miles and Huberman model for qualitative analysis: data reduction, display, and conclusion drawing. The success criteria were set at a minimum of 70% individual mastery and 80% class mastery, supported by positive observational outcomes.</w:t>
      </w:r>
    </w:p>
    <w:p w14:paraId="4E68EF9D">
      <w:pPr>
        <w:spacing w:after="120" w:line="276" w:lineRule="auto"/>
        <w:ind w:firstLine="284"/>
        <w:jc w:val="both"/>
        <w:rPr>
          <w:rFonts w:ascii="Times New Roman" w:hAnsi="Times New Roman" w:cs="Times New Roman"/>
          <w:b/>
          <w:i/>
          <w:color w:val="0070C0"/>
        </w:rPr>
      </w:pPr>
      <w:r>
        <w:rPr>
          <w:rFonts w:hint="default" w:ascii="Times New Roman" w:hAnsi="Times New Roman"/>
        </w:rPr>
        <w:t>The integrated design of this research enabled a continuous cycle of evaluation and pedagogical refinement, consistent with collaborative reading approaches that foster shared learning goals (Watkins, 2020; Joseph, 2020).</w:t>
      </w:r>
    </w:p>
    <w:p w14:paraId="2ABD3ED1">
      <w:pPr>
        <w:pStyle w:val="2"/>
        <w:numPr>
          <w:ilvl w:val="0"/>
          <w:numId w:val="1"/>
        </w:numPr>
        <w:tabs>
          <w:tab w:val="left" w:pos="360"/>
        </w:tabs>
        <w:suppressAutoHyphens/>
        <w:spacing w:after="120"/>
        <w:ind w:left="270" w:hanging="270"/>
        <w:rPr>
          <w:i w:val="0"/>
          <w:sz w:val="22"/>
          <w:szCs w:val="22"/>
        </w:rPr>
      </w:pPr>
      <w:r>
        <w:rPr>
          <w:i w:val="0"/>
          <w:sz w:val="22"/>
          <w:szCs w:val="22"/>
        </w:rPr>
        <w:t>HASIL DAN PEMBAHASAN</w:t>
      </w:r>
    </w:p>
    <w:p w14:paraId="184FD4C9">
      <w:pPr>
        <w:spacing w:after="240" w:line="276" w:lineRule="auto"/>
        <w:ind w:firstLine="284"/>
        <w:jc w:val="both"/>
        <w:rPr>
          <w:rFonts w:hint="default" w:ascii="Times New Roman" w:hAnsi="Times New Roman"/>
        </w:rPr>
      </w:pPr>
      <w:r>
        <w:rPr>
          <w:rFonts w:ascii="Times New Roman" w:hAnsi="Times New Roman" w:cs="Times New Roman"/>
        </w:rPr>
        <w:t xml:space="preserve">Diskusi </w:t>
      </w:r>
      <w:r>
        <w:rPr>
          <w:rFonts w:hint="default" w:ascii="Times New Roman" w:hAnsi="Times New Roman"/>
        </w:rPr>
        <w:t>To start the implementation of Cycle I and Cycle II, the researcher conducted a pre-test to determine students' initial understanding of the Indonesian language subject. The results of the pre-test analysis are presented in the form of a diagram, as in Figure 1 below.</w:t>
      </w:r>
    </w:p>
    <w:p w14:paraId="10F81A58">
      <w:pPr>
        <w:spacing w:after="240" w:line="276" w:lineRule="auto"/>
        <w:jc w:val="both"/>
        <w:rPr>
          <w:rFonts w:hint="default" w:ascii="Times New Roman" w:hAnsi="Times New Roman"/>
        </w:rPr>
      </w:pPr>
      <w:r>
        <w:rPr>
          <w:rFonts w:hint="default" w:cs="Palatino Linotype" w:asciiTheme="majorAscii" w:hAnsiTheme="majorAscii"/>
          <w:color w:val="000000" w:themeColor="text1"/>
          <w:sz w:val="22"/>
          <w:szCs w:val="22"/>
          <w:lang w:val="en-US"/>
          <w14:textFill>
            <w14:solidFill>
              <w14:schemeClr w14:val="tx1"/>
            </w14:solidFill>
          </w14:textFill>
        </w:rPr>
        <w:drawing>
          <wp:inline distT="0" distB="0" distL="114300" distR="114300">
            <wp:extent cx="2979420" cy="1630045"/>
            <wp:effectExtent l="6350" t="6350" r="1143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A6BE4C">
      <w:pPr>
        <w:spacing w:after="240" w:line="276" w:lineRule="auto"/>
        <w:jc w:val="center"/>
        <w:rPr>
          <w:rFonts w:hint="default" w:ascii="Times New Roman" w:hAnsi="Times New Roman"/>
        </w:rPr>
      </w:pPr>
      <w:r>
        <w:rPr>
          <w:rFonts w:hint="default" w:ascii="Times New Roman" w:hAnsi="Times New Roman"/>
        </w:rPr>
        <w:t>Figure 1.  Pre Test Results</w:t>
      </w:r>
    </w:p>
    <w:p w14:paraId="0E0E9931">
      <w:pPr>
        <w:spacing w:after="240" w:line="276" w:lineRule="auto"/>
        <w:ind w:firstLine="284"/>
        <w:jc w:val="both"/>
        <w:rPr>
          <w:rFonts w:hint="default" w:ascii="Times New Roman" w:hAnsi="Times New Roman"/>
        </w:rPr>
      </w:pPr>
      <w:r>
        <w:rPr>
          <w:rFonts w:hint="default" w:ascii="Times New Roman" w:hAnsi="Times New Roman"/>
        </w:rPr>
        <w:t>The results of the initial test analysis showed that of the 28 students who took the test, 8 students were successful (28.57%) and 20 students were unsuccessful (71.43%).</w:t>
      </w:r>
    </w:p>
    <w:p w14:paraId="166AD160">
      <w:pPr>
        <w:spacing w:after="240" w:line="276" w:lineRule="auto"/>
        <w:ind w:firstLine="284"/>
        <w:jc w:val="both"/>
        <w:rPr>
          <w:rFonts w:hint="default" w:ascii="Times New Roman" w:hAnsi="Times New Roman"/>
        </w:rPr>
      </w:pPr>
      <w:r>
        <w:rPr>
          <w:rFonts w:hint="default" w:ascii="Times New Roman" w:hAnsi="Times New Roman"/>
        </w:rPr>
        <w:t>Evaluation of Students' Simple Sentence Reading Ability in Cycle I</w:t>
      </w:r>
    </w:p>
    <w:p w14:paraId="5F654F7D">
      <w:pPr>
        <w:spacing w:after="240" w:line="276" w:lineRule="auto"/>
        <w:jc w:val="both"/>
        <w:rPr>
          <w:rFonts w:hint="default" w:ascii="Times New Roman" w:hAnsi="Times New Roman"/>
        </w:rPr>
      </w:pPr>
      <w:r>
        <w:rPr>
          <w:rFonts w:hint="default" w:cs="Palatino Linotype" w:asciiTheme="majorAscii" w:hAnsiTheme="majorAscii"/>
          <w:color w:val="000000" w:themeColor="text1"/>
          <w:sz w:val="22"/>
          <w:szCs w:val="22"/>
          <w:lang w:val="en-US"/>
          <w14:textFill>
            <w14:solidFill>
              <w14:schemeClr w14:val="tx1"/>
            </w14:solidFill>
          </w14:textFill>
        </w:rPr>
        <w:drawing>
          <wp:inline distT="0" distB="0" distL="114300" distR="114300">
            <wp:extent cx="2708275" cy="1954530"/>
            <wp:effectExtent l="6350" t="6350" r="28575" b="203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10ED96E">
      <w:pPr>
        <w:spacing w:after="240" w:line="276" w:lineRule="auto"/>
        <w:jc w:val="center"/>
        <w:rPr>
          <w:rFonts w:hint="default" w:ascii="Times New Roman" w:hAnsi="Times New Roman"/>
        </w:rPr>
      </w:pPr>
      <w:r>
        <w:rPr>
          <w:rFonts w:hint="default" w:ascii="Times New Roman" w:hAnsi="Times New Roman"/>
        </w:rPr>
        <w:t>Figure 2.  Evaluation of Students' Simple Sentence Reading Ability in Cycle I</w:t>
      </w:r>
    </w:p>
    <w:p w14:paraId="4B8E2964">
      <w:pPr>
        <w:spacing w:after="240" w:line="276" w:lineRule="auto"/>
        <w:ind w:firstLine="284"/>
        <w:jc w:val="both"/>
        <w:rPr>
          <w:rFonts w:hint="default" w:ascii="Times New Roman" w:hAnsi="Times New Roman"/>
        </w:rPr>
      </w:pPr>
      <w:r>
        <w:rPr>
          <w:rFonts w:hint="default" w:ascii="Times New Roman" w:hAnsi="Times New Roman"/>
        </w:rPr>
        <w:t xml:space="preserve">The results of the initial test analysis showed that of the 28 students who took the test, 11 students were successful (39%) and 17 students were unsuccessful (61%). </w:t>
      </w:r>
    </w:p>
    <w:p w14:paraId="6C7C19EC">
      <w:pPr>
        <w:spacing w:after="240" w:line="276" w:lineRule="auto"/>
        <w:ind w:firstLine="284"/>
        <w:jc w:val="both"/>
        <w:rPr>
          <w:rFonts w:hint="default" w:ascii="Times New Roman" w:hAnsi="Times New Roman"/>
        </w:rPr>
      </w:pPr>
      <w:r>
        <w:rPr>
          <w:rFonts w:hint="default" w:ascii="Times New Roman" w:hAnsi="Times New Roman"/>
        </w:rPr>
        <w:t>Evaluation of Students' Simple Sentence Reading Ability in Cycle II</w:t>
      </w:r>
    </w:p>
    <w:p w14:paraId="21F066F2">
      <w:pPr>
        <w:spacing w:after="240" w:line="276" w:lineRule="auto"/>
        <w:jc w:val="both"/>
        <w:rPr>
          <w:rFonts w:hint="default" w:ascii="Times New Roman" w:hAnsi="Times New Roman"/>
        </w:rPr>
      </w:pPr>
      <w:r>
        <w:rPr>
          <w:rFonts w:hint="default" w:cs="Palatino Linotype" w:asciiTheme="majorAscii" w:hAnsiTheme="majorAscii"/>
          <w:color w:val="000000" w:themeColor="text1"/>
          <w:sz w:val="22"/>
          <w:szCs w:val="22"/>
          <w:lang w:val="en-US"/>
          <w14:textFill>
            <w14:solidFill>
              <w14:schemeClr w14:val="tx1"/>
            </w14:solidFill>
          </w14:textFill>
        </w:rPr>
        <w:drawing>
          <wp:inline distT="0" distB="0" distL="114300" distR="114300">
            <wp:extent cx="2764155" cy="2242820"/>
            <wp:effectExtent l="6350" t="6350" r="23495"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A685BF">
      <w:pPr>
        <w:spacing w:after="240" w:line="276" w:lineRule="auto"/>
        <w:jc w:val="center"/>
        <w:rPr>
          <w:rFonts w:hint="default" w:ascii="Times New Roman" w:hAnsi="Times New Roman"/>
        </w:rPr>
      </w:pPr>
      <w:r>
        <w:rPr>
          <w:rFonts w:hint="default" w:ascii="Times New Roman" w:hAnsi="Times New Roman"/>
        </w:rPr>
        <w:t>Figure 3.  Evaluation of Students' Simple Sentence Reading Ability in Cycle II</w:t>
      </w:r>
    </w:p>
    <w:p w14:paraId="01E332D3">
      <w:pPr>
        <w:spacing w:after="240" w:line="276" w:lineRule="auto"/>
        <w:ind w:firstLine="284"/>
        <w:jc w:val="both"/>
        <w:rPr>
          <w:rFonts w:hint="default" w:ascii="Times New Roman" w:hAnsi="Times New Roman"/>
        </w:rPr>
      </w:pPr>
    </w:p>
    <w:p w14:paraId="5B50DC25">
      <w:pPr>
        <w:spacing w:after="240" w:line="276" w:lineRule="auto"/>
        <w:ind w:firstLine="284"/>
        <w:jc w:val="both"/>
        <w:rPr>
          <w:rFonts w:hint="default" w:ascii="Times New Roman" w:hAnsi="Times New Roman"/>
          <w:lang w:val="en-US"/>
        </w:rPr>
      </w:pPr>
      <w:r>
        <w:rPr>
          <w:rFonts w:hint="default" w:ascii="Times New Roman" w:hAnsi="Times New Roman"/>
        </w:rPr>
        <w:t>The results of the initial test analysis showed that of the 28 students who took the test, 26 students were successful (93%) and 2 students were unsuccessful (7%)</w:t>
      </w:r>
      <w:r>
        <w:rPr>
          <w:rFonts w:hint="default" w:ascii="Times New Roman" w:hAnsi="Times New Roman"/>
          <w:lang w:val="en-US"/>
        </w:rPr>
        <w:t>.</w:t>
      </w:r>
    </w:p>
    <w:p w14:paraId="4881B04F">
      <w:pPr>
        <w:spacing w:after="240" w:line="276" w:lineRule="auto"/>
        <w:ind w:firstLine="284"/>
        <w:jc w:val="both"/>
        <w:rPr>
          <w:rFonts w:hint="default" w:ascii="Times New Roman" w:hAnsi="Times New Roman"/>
          <w:lang w:val="en-US"/>
        </w:rPr>
      </w:pPr>
      <w:r>
        <w:rPr>
          <w:rFonts w:hint="default" w:ascii="Times New Roman" w:hAnsi="Times New Roman"/>
          <w:lang w:val="en-US"/>
        </w:rPr>
        <w:t>The implementation of the Beginning Reading and Writing (MMP) method in this classroom action research aimed to enhance the ability of first-grade students at SDN 2 Tatura to read simple sentences. The study was conducted over two cycles, each comprising four stages: planning, action, observation, and reflection. The findings from both cycles indicate a significant improvement in students' reading abilities, underscoring the effectiveness of the MMP method in early reading instruction.</w:t>
      </w:r>
    </w:p>
    <w:p w14:paraId="337CEE18">
      <w:pPr>
        <w:spacing w:after="240" w:line="276" w:lineRule="auto"/>
        <w:ind w:firstLine="284"/>
        <w:jc w:val="both"/>
        <w:rPr>
          <w:rFonts w:hint="default" w:ascii="Times New Roman" w:hAnsi="Times New Roman"/>
          <w:lang w:val="en-US"/>
        </w:rPr>
      </w:pPr>
      <w:r>
        <w:rPr>
          <w:rFonts w:hint="default" w:ascii="Times New Roman" w:hAnsi="Times New Roman"/>
          <w:lang w:val="en-US"/>
        </w:rPr>
        <w:t>In the first cycle, students' reading abilities were distributed as follows: 11 students (39%) were categorized as having moderate reading skills, while 17 students (61%) demonstrated high reading proficiency. Notably, no students fell into the very low, low, or very high categories. The average reading score was 75.54%, which, although satisfactory, suggested room for improvement. The initial implementation of the MMP method faced challenges, as students were not yet accustomed to this approach, leading to suboptimal engagement and performance.</w:t>
      </w:r>
    </w:p>
    <w:p w14:paraId="3FD05489">
      <w:pPr>
        <w:spacing w:after="240" w:line="276" w:lineRule="auto"/>
        <w:ind w:firstLine="284"/>
        <w:jc w:val="both"/>
        <w:rPr>
          <w:rFonts w:hint="default" w:ascii="Times New Roman" w:hAnsi="Times New Roman"/>
          <w:lang w:val="en-US"/>
        </w:rPr>
      </w:pPr>
      <w:r>
        <w:rPr>
          <w:rFonts w:hint="default" w:ascii="Times New Roman" w:hAnsi="Times New Roman"/>
          <w:lang w:val="en-US"/>
        </w:rPr>
        <w:t>The second cycle showed marked progress. 26 students were successful (93%) and 2 students were unsuccessful (7%). The average reading score increased to 82.68%, indicating a transition from moderate to high reading proficiency among the majority of students. This improvement can be attributed to students' growing familiarity with the MMP method and the engaging nature of the learning materials, such as illustrated worksheets (LKPD) and simple sentences tailored to their reading level.</w:t>
      </w:r>
    </w:p>
    <w:p w14:paraId="631C3C03">
      <w:pPr>
        <w:spacing w:after="240" w:line="276" w:lineRule="auto"/>
        <w:ind w:firstLine="284"/>
        <w:jc w:val="both"/>
        <w:rPr>
          <w:rFonts w:hint="default" w:ascii="Times New Roman" w:hAnsi="Times New Roman"/>
          <w:lang w:val="en-US"/>
        </w:rPr>
      </w:pPr>
      <w:r>
        <w:rPr>
          <w:rFonts w:hint="default" w:ascii="Times New Roman" w:hAnsi="Times New Roman"/>
          <w:lang w:val="en-US"/>
        </w:rPr>
        <w:t>The success of the MMP method aligns with findings from previous studies emphasizing the importance of interactive and student-centered approaches in reading instruction. For instance, Juhanaini et al. (2025) demonstrated that the Know-Want-Learned (KWL) strategy effectively improved reading comprehension among students with learning disabilities by actively involving them in the learning process. Similarly, Khadijah et al. (2022) highlighted the efficacy of educational game tools in enhancing early childhood reading abilities, suggesting that interactive methods can significantly impact young learners' engagement and comprehension.</w:t>
      </w:r>
    </w:p>
    <w:p w14:paraId="51D727A4">
      <w:pPr>
        <w:spacing w:after="240" w:line="276" w:lineRule="auto"/>
        <w:ind w:firstLine="284"/>
        <w:jc w:val="both"/>
        <w:rPr>
          <w:rFonts w:hint="default" w:ascii="Times New Roman" w:hAnsi="Times New Roman"/>
          <w:lang w:val="en-US"/>
        </w:rPr>
      </w:pPr>
      <w:r>
        <w:rPr>
          <w:rFonts w:hint="default" w:ascii="Times New Roman" w:hAnsi="Times New Roman"/>
          <w:lang w:val="en-US"/>
        </w:rPr>
        <w:t>Furthermore, the use of visual aids and storytelling in the MMP method resonates with Prawiyogi et al. (2023) assertion that extensive reading and story writing are interconnected, with storytelling serving as a powerful tool to develop reading skills. The incorporation of illustrated stories in the MMP approach not only aids in comprehension but also fosters imagination and creativity among students.</w:t>
      </w:r>
    </w:p>
    <w:p w14:paraId="18393A6A">
      <w:pPr>
        <w:spacing w:after="240" w:line="276" w:lineRule="auto"/>
        <w:ind w:firstLine="284"/>
        <w:jc w:val="both"/>
        <w:rPr>
          <w:rFonts w:hint="default" w:ascii="Times New Roman" w:hAnsi="Times New Roman"/>
          <w:lang w:val="en-US"/>
        </w:rPr>
      </w:pPr>
      <w:r>
        <w:rPr>
          <w:rFonts w:hint="default" w:ascii="Times New Roman" w:hAnsi="Times New Roman"/>
          <w:lang w:val="en-US"/>
        </w:rPr>
        <w:t>The positive outcomes observed in this study also reflect the principles of the Directed Reading Thinking Activity (DRTA) strategy, which emphasizes prediction and critical thinking during reading. Kurniaman et al. (2021) found that DRTA-based teaching materials effectively improved elementary students' reading prediction skills, suggesting that strategies encouraging active engagement with texts can enhance reading proficiency.</w:t>
      </w:r>
    </w:p>
    <w:p w14:paraId="0AE1353C">
      <w:pPr>
        <w:spacing w:after="240" w:line="276" w:lineRule="auto"/>
        <w:ind w:firstLine="284"/>
        <w:jc w:val="both"/>
        <w:rPr>
          <w:rFonts w:hint="default" w:ascii="Times New Roman" w:hAnsi="Times New Roman"/>
          <w:lang w:val="en-US"/>
        </w:rPr>
      </w:pPr>
      <w:r>
        <w:rPr>
          <w:rFonts w:hint="default" w:ascii="Times New Roman" w:hAnsi="Times New Roman"/>
          <w:lang w:val="en-US"/>
        </w:rPr>
        <w:t>Moreover, the findings align with the research by Luo et al. (2024), who developed an instructional model to improve reading abilities of technical documents among vocational students. Their study underscores the importance of tailored instructional models that cater to specific reading needs, reinforcing the notion that customized approaches like MMP can be highly effective in early reading education.</w:t>
      </w:r>
    </w:p>
    <w:p w14:paraId="2FDB678C">
      <w:pPr>
        <w:spacing w:after="240" w:line="276" w:lineRule="auto"/>
        <w:ind w:firstLine="284"/>
        <w:jc w:val="both"/>
        <w:rPr>
          <w:rFonts w:hint="default" w:ascii="Times New Roman" w:hAnsi="Times New Roman"/>
          <w:lang w:val="en-US"/>
        </w:rPr>
      </w:pPr>
      <w:r>
        <w:rPr>
          <w:rFonts w:hint="default" w:ascii="Times New Roman" w:hAnsi="Times New Roman"/>
          <w:lang w:val="en-US"/>
        </w:rPr>
        <w:t>The implementation of the MMP method also addresses issues related to learning losses in reading, as discussed by Pek et al. (2024). Their scoping review identified factors contributing to learning losses among primary school children, emphasizing the need for effective reading interventions. The MMP method, by providing structured and engaging reading activities, serves as a viable solution to mitigate such losses.</w:t>
      </w:r>
    </w:p>
    <w:p w14:paraId="32C4F0B2">
      <w:pPr>
        <w:spacing w:after="240" w:line="276" w:lineRule="auto"/>
        <w:ind w:firstLine="284"/>
        <w:jc w:val="both"/>
        <w:rPr>
          <w:rFonts w:hint="default" w:ascii="Times New Roman" w:hAnsi="Times New Roman"/>
          <w:lang w:val="en-US"/>
        </w:rPr>
      </w:pPr>
      <w:r>
        <w:rPr>
          <w:rFonts w:hint="default" w:ascii="Times New Roman" w:hAnsi="Times New Roman"/>
          <w:lang w:val="en-US"/>
        </w:rPr>
        <w:t>Additionally, the study's findings support the effectiveness of the 'Calistung' Clinic Program in overcoming students' reading difficulties, as reported by Nabela et al. (2022). Both approaches highlight the significance of targeted interventions in addressing specific learning challenges in reading.</w:t>
      </w:r>
    </w:p>
    <w:p w14:paraId="7114C04E">
      <w:pPr>
        <w:spacing w:after="240" w:line="276" w:lineRule="auto"/>
        <w:ind w:firstLine="284"/>
        <w:jc w:val="both"/>
        <w:rPr>
          <w:rFonts w:hint="default" w:ascii="Times New Roman" w:hAnsi="Times New Roman"/>
          <w:lang w:val="en-US"/>
        </w:rPr>
      </w:pPr>
      <w:r>
        <w:rPr>
          <w:rFonts w:hint="default" w:ascii="Times New Roman" w:hAnsi="Times New Roman"/>
          <w:lang w:val="en-US"/>
        </w:rPr>
        <w:t>In conclusion, the application of the MMP method in this study has proven to be an effective strategy for enhancing the reading abilities of first-grade students. The method's emphasis on interactive learning, visual aids, and storytelling aligns with established educational strategies that promote reading proficiency. The significant improvements observed across the two cycles underscore the potential of the MMP method as a valuable tool in early reading instruction, contributing to the broader goal of improving literacy among young learners</w:t>
      </w:r>
    </w:p>
    <w:p w14:paraId="481A4D02">
      <w:pPr>
        <w:pStyle w:val="2"/>
        <w:numPr>
          <w:ilvl w:val="0"/>
          <w:numId w:val="1"/>
        </w:numPr>
        <w:tabs>
          <w:tab w:val="left" w:pos="360"/>
        </w:tabs>
        <w:suppressAutoHyphens/>
        <w:spacing w:after="120"/>
        <w:ind w:left="270" w:hanging="270"/>
        <w:rPr>
          <w:i w:val="0"/>
          <w:sz w:val="22"/>
          <w:szCs w:val="22"/>
        </w:rPr>
      </w:pPr>
      <w:r>
        <w:rPr>
          <w:i w:val="0"/>
          <w:sz w:val="22"/>
          <w:szCs w:val="22"/>
        </w:rPr>
        <w:t>KESIMPULAN</w:t>
      </w:r>
    </w:p>
    <w:p w14:paraId="34093033">
      <w:pPr>
        <w:spacing w:after="240" w:line="276" w:lineRule="auto"/>
        <w:ind w:firstLine="284"/>
        <w:jc w:val="both"/>
        <w:rPr>
          <w:rFonts w:ascii="Times New Roman" w:hAnsi="Times New Roman" w:cs="Times New Roman"/>
        </w:rPr>
      </w:pPr>
      <w:r>
        <w:rPr>
          <w:rFonts w:hint="default" w:ascii="Times New Roman" w:hAnsi="Times New Roman"/>
        </w:rPr>
        <w:t>This classroom action research concludes that the Beginning Reading and Writing (MMP) method is an effective instructional strategy for improving the ability of first-grade students at SDN 2 Tatura to read simple sentences. Conducted over two cycles, the study demonstrated a clear progression in students’ reading performance, with average scores increasing from 75.54% to 82.68%, and the percentage of successful learners rising to 93% in the second cycle. These gains reflect students’ growing familiarity with the MMP method and the method’s engaging, student-centered approach, which includes the use of illustrated worksheets and contextually simple sentences. The findings are consistent with prior research supporting the use of interactive, visual, and tailored teaching strategies to enhance early literacy skills. Therefore, the MMP method not only addresses foundational reading challenges effectively but also contributes meaningfully to preventing learning losses and supporting the literacy development of young learners</w:t>
      </w:r>
    </w:p>
    <w:p w14:paraId="5F8AF2A3">
      <w:pPr>
        <w:pStyle w:val="2"/>
        <w:numPr>
          <w:ilvl w:val="0"/>
          <w:numId w:val="1"/>
        </w:numPr>
        <w:tabs>
          <w:tab w:val="left" w:pos="360"/>
        </w:tabs>
        <w:suppressAutoHyphens/>
        <w:spacing w:after="120"/>
        <w:ind w:left="270" w:hanging="270"/>
        <w:rPr>
          <w:i w:val="0"/>
          <w:sz w:val="22"/>
          <w:szCs w:val="22"/>
        </w:rPr>
      </w:pPr>
      <w:r>
        <w:rPr>
          <w:i w:val="0"/>
          <w:sz w:val="22"/>
          <w:szCs w:val="22"/>
        </w:rPr>
        <w:t>REFERENSI</w:t>
      </w:r>
    </w:p>
    <w:p w14:paraId="3A8A5B2E">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Apps, T., Beckman, K., &amp; Howard, S. K. (2023). Valuable data? Using walkthrough methods to understand the impact of digital reading platforms in Australian primary schools. Learning, Media and Technology, 48(2), 294–309. https://doi.org/10.1080/17439884.2022.2160458 </w:t>
      </w:r>
    </w:p>
    <w:p w14:paraId="164E0E8D">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Ayuningtyas, T., Iswara, P. D., Sopandi, W., &amp; Sujana, A. (2025). The Effect of the Phonics Method Using Beginning Reading Media on Primary School Students’ Beginning Reading Skills. Mimbar Sekolah Dasar, 12(1), 63–81. https://doi.org/10.53400/mimbar-sd.v12i1.81908 </w:t>
      </w:r>
    </w:p>
    <w:p w14:paraId="4A936814">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Bist, R. B., &amp; Kandel, R. K. (2024). Reader Response Approach for Enhancing Literary Comprehension in an EFL Context. International Journal of Educational Reform, 10567879241226712. https://doi.org/10.1177/10567879241226712 </w:t>
      </w:r>
    </w:p>
    <w:p w14:paraId="4BDB1935">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Dewani, H. W., Sukartiningsih, W., Hendratno, H., &amp; Suryanti, S. (2025). Exploring Reading Interest and Reading Literacy of Indonesian Language in Elementary School Students: A Correlation Study. International Journal of Language Education, 8(4). https://doi.org/10.26858/ijole.v8i4.70003 </w:t>
      </w:r>
    </w:p>
    <w:p w14:paraId="4B1C45F8">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Driessen, G., &amp; Merry, M. S. (2014). Trends in educational disadvantage in Dutch primary school. Educational Review, 66(3), 276–292. https://doi.org/10.1080/00131911.2013.771146 </w:t>
      </w:r>
    </w:p>
    <w:p w14:paraId="2EE9BF8D">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Erni, E. (2023). Developing Local Wisdom-Based E-Module in Reading and Writing Course for Tertiary Students in Indonesia. AL-ISHLAH: Jurnal Pendidikan, 15(2), 2577–2590. https://doi.org/10.35445/alishlah.v15i2.4073 </w:t>
      </w:r>
    </w:p>
    <w:p w14:paraId="42708670">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Goodwyn, A. (2014). Reading is now “cool”: A study of English teachers’ perspectives on e-reading devices as a challenge and an opportunity. Educational Review, 66(3), 263–275. https://doi.org/10.1080/00131911.2013.768960 </w:t>
      </w:r>
    </w:p>
    <w:p w14:paraId="70EEE716">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Handayani, W., &amp; Adi, B. S. (2025). Enhancing Reading and Writing Skills Through the Local Wisdom-Based Animated Video Media. Mimbar Sekolah Dasar, 12(1), 82–93. https://doi.org/10.53400/mimbar-sd.v12i1.81915 </w:t>
      </w:r>
    </w:p>
    <w:p w14:paraId="5DE785D5">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Indriani, N. E. P., &amp; Ramadhan, S. (2025). The Effect of SOLE (Self Organized Learning Environment) Model and Reading Interest on Writing Skills. AL-ISHLAH: Jurnal Pendidikan, 17(1). https://doi.org/10.35445/alishlah.v17i1.6489 </w:t>
      </w:r>
    </w:p>
    <w:p w14:paraId="5C6A40E0">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Jones, S., &amp; Harvey, K. (2020). Participation, Perplexity and Plurality: Exploring the Shared Reading of a ‘Difficult’ Poem. Changing English, 27(1), 34–49. https://doi.org/10.1080/1358684X.2019.1702455 </w:t>
      </w:r>
    </w:p>
    <w:p w14:paraId="1ADA8338">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Joseph, B. O. (2020). Evaluating Reading Habit among Junior Secondary School Students in Ekiti State in Nigeria. International Journal of Language Education, 74–80. https://doi.org/10.26858/ijole.v4i2.10206 </w:t>
      </w:r>
    </w:p>
    <w:p w14:paraId="73003BFA">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Juhanaini, J., Rizqita, A. J., &amp; Putri, L. A. (2025). Improving reading comprehension learning for students with learning disabilities through know-want-learned strategy. Jurnal Cakrawala Pendidikan, 44(1), 169–176. https://doi.org/10.21831/cp.v44i1.82376 </w:t>
      </w:r>
    </w:p>
    <w:p w14:paraId="5975A63E">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Juneli, J. A., Hartati, T., Sopandi, W., &amp; Sujana, A. (2025). Applying the Preview, Question, Read, Summarize, and Test Method to Enhance the Effective Reading Speed of Elementary School Students. Mimbar Sekolah Dasar, 12(1), 94–112. https://doi.org/10.53400/mimbar-sd.v12i1.81938 </w:t>
      </w:r>
    </w:p>
    <w:p w14:paraId="593AD04E">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Kartikasari, E., &amp; Nuryasana, E. (2022). School literacy movement program in elementary school, Indonesia: Literature review. Journal of Education and Learning (EduLearn), 16(3), 336–341. https://doi.org/10.11591/edulearn.v16i3.20383 </w:t>
      </w:r>
    </w:p>
    <w:p w14:paraId="762E3263">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Khadijah, K., Pulungan, E. N., Hariati, R., &amp; Maisarah, M. (2022). Developing The Educational Game Tool to Improve Reading Ability of Early Childhood. International Journal of Language Education, 6(1), 25. https://doi.org/10.26858/ijole.v6i1.20145 </w:t>
      </w:r>
    </w:p>
    <w:p w14:paraId="69321683">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Kiziltas, Y., Şata, M., &amp; Elkonca, F. (2023). Classroom Teachers’ Bias in Assessing Disadvantaged Primary School Students’ Reading Comprehension Skills. Mimbar Sekolah Dasar, 10(1), 106–121. https://doi.org/10.53400/mimbar-sd.v10i1.51312 </w:t>
      </w:r>
    </w:p>
    <w:p w14:paraId="6BE69FE2">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Kurniaman, O., Noviana, E., &amp; Zufriady, Z. (2021). Developing DRTA (Directed Reading Thinking Activity) Strategy Teaching Materials for Elementary School Students in Improving Reading Prediction Skills. AL-ISHLAH: Jurnal Pendidikan, 13(1), 261–272. https://doi.org/10.35445/alishlah.v13i1.350 </w:t>
      </w:r>
    </w:p>
    <w:p w14:paraId="7E23ACFA">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Luo, F., Chano, J., &amp; Chen, H. (2024). Designing an Instructional Model to improve Reading Abilities of Technical Documents and Learning Attitudes for Vocational Students in Shenzhen Institute of Technology. International Journal of Language Education, 8(2). https://doi.org/10.26858/ijole.v8i2.64999 </w:t>
      </w:r>
    </w:p>
    <w:p w14:paraId="5A161AF3">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Nabela, S. J., Mustadi, A., Hendrik, M., &amp; Romadon, R. (2022). Implementating ‘Calistung’ Clinic Program to Overcome Students’ Reading Difficulty. AL-ISHLAH: Jurnal Pendidikan, 14(3), 3135–3148. https://doi.org/10.35445/alishlah.v14i3.1231 </w:t>
      </w:r>
    </w:p>
    <w:p w14:paraId="0F8B75C0">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Nurani, R. Z., &amp; Mahendra, H. H. (2019). Use of Big Book Learning Media to Improve Students’ Beginning Reading Skills in Primary Schools. Mimbar Sekolah Dasar, 6(3), 330–340. https://doi.org/10.17509/mimbar-sd.v6i3.22893 </w:t>
      </w:r>
    </w:p>
    <w:p w14:paraId="1AB001A6">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Pek, L. S., Nadarajan, N.-T. M., Khusni, H., Mee, R. W. M., Ismail, M. R., Adha, N. S. Q. S., &amp; Arma, A. E. S. A. J. (2024). Factors contributing to learning losses among primary school children: A scoping review. Journal of Education and Learning (EduLearn), 18(3), 840–847. https://doi.org/10.11591/edulearn.v18i3.21305  </w:t>
      </w:r>
    </w:p>
    <w:p w14:paraId="78D328BA">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Prawiyogi, A. G., Rahman, R., Sastromiharjo, A., Anwar, A. S., &amp; Suparman, T. (2023). The Implementation of Local Wisdom-Themed Poetry Musicalization Model and Its Influence on Elementary Students’ Poetry Writing and Reading Skills. AL-ISHLAH: Jurnal Pendidikan, 15(2), 1780–1788. https://doi.org/10.35445/alishlah.v15i2.3003</w:t>
      </w:r>
    </w:p>
    <w:p w14:paraId="13E8718F">
      <w:pPr>
        <w:spacing w:after="120" w:line="276" w:lineRule="auto"/>
        <w:ind w:left="567" w:hanging="567"/>
        <w:jc w:val="both"/>
        <w:rPr>
          <w:rFonts w:hint="default" w:ascii="Times New Roman" w:hAnsi="Times New Roman"/>
          <w:bCs/>
          <w:sz w:val="20"/>
          <w:szCs w:val="20"/>
        </w:rPr>
      </w:pPr>
      <w:r>
        <w:rPr>
          <w:rFonts w:hint="default" w:ascii="Times New Roman" w:hAnsi="Times New Roman"/>
          <w:bCs/>
          <w:sz w:val="20"/>
          <w:szCs w:val="20"/>
        </w:rPr>
        <w:t xml:space="preserve">Salamah, S., &amp; Sarjiyem, S. (2025). Game-based educational media and associative skills in kindergarten students’ early reading and writing development. Jurnal Cakrawala Pendidikan, 44(1), 187–197. https://doi.org/10.21831/cp.v44i1.79463 </w:t>
      </w:r>
    </w:p>
    <w:p w14:paraId="7BB3ADD4">
      <w:pPr>
        <w:spacing w:after="120" w:line="276" w:lineRule="auto"/>
        <w:ind w:left="567" w:hanging="567"/>
        <w:jc w:val="both"/>
        <w:rPr>
          <w:rFonts w:ascii="Times New Roman" w:hAnsi="Times New Roman" w:cs="Times New Roman"/>
          <w:bCs/>
          <w:sz w:val="20"/>
          <w:szCs w:val="20"/>
        </w:rPr>
      </w:pPr>
      <w:r>
        <w:rPr>
          <w:rFonts w:hint="default" w:ascii="Times New Roman" w:hAnsi="Times New Roman"/>
          <w:bCs/>
          <w:sz w:val="20"/>
          <w:szCs w:val="20"/>
        </w:rPr>
        <w:t>Watkins, V. (2020). Reading collaborative reading partnerships in a school community. Changing English, 27(1), 15–33. https://doi.org/10.1080/1358684X.2019.1682966</w:t>
      </w:r>
    </w:p>
    <w:sectPr>
      <w:footerReference r:id="rId7" w:type="default"/>
      <w:type w:val="continuous"/>
      <w:pgSz w:w="12240" w:h="15840"/>
      <w:pgMar w:top="1440" w:right="1440" w:bottom="1440" w:left="1440" w:header="720" w:footer="720" w:gutter="0"/>
      <w:cols w:space="709" w:num="2"/>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宋体-简"/>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Palatino Linotype">
    <w:altName w:val="苹方-简"/>
    <w:panose1 w:val="02040502050505030304"/>
    <w:charset w:val="00"/>
    <w:family w:val="roman"/>
    <w:pitch w:val="default"/>
    <w:sig w:usb0="00000000" w:usb1="00000000" w:usb2="00000000" w:usb3="00000000" w:csb0="0000019F"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苹方-简">
    <w:altName w:val="Times New Roman"/>
    <w:panose1 w:val="020B0600000000000000"/>
    <w:charset w:val="00"/>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16"/>
        <w:szCs w:val="16"/>
      </w:rPr>
      <w:id w:val="-1"/>
      <w:docPartObj>
        <w:docPartGallery w:val="autotext"/>
      </w:docPartObj>
    </w:sdtPr>
    <w:sdtEndPr>
      <w:rPr>
        <w:rFonts w:ascii="Times New Roman" w:hAnsi="Times New Roman" w:cs="Times New Roman"/>
        <w:color w:val="4472C4" w:themeColor="accent1"/>
        <w:spacing w:val="60"/>
        <w:sz w:val="16"/>
        <w:szCs w:val="16"/>
        <w14:textFill>
          <w14:solidFill>
            <w14:schemeClr w14:val="accent1"/>
          </w14:solidFill>
        </w14:textFill>
      </w:rPr>
    </w:sdtEndPr>
    <w:sdtContent>
      <w:p w14:paraId="6AF12631">
        <w:pPr>
          <w:pStyle w:val="6"/>
          <w:pBdr>
            <w:top w:val="single" w:color="auto" w:sz="4" w:space="1"/>
          </w:pBdr>
          <w:tabs>
            <w:tab w:val="left" w:pos="8931"/>
          </w:tabs>
          <w:rPr>
            <w:rFonts w:ascii="Times New Roman" w:hAnsi="Times New Roman" w:cs="Times New Roman"/>
            <w:color w:val="4472C4" w:themeColor="accent1"/>
            <w:sz w:val="16"/>
            <w:szCs w:val="16"/>
            <w14:textFill>
              <w14:solidFill>
                <w14:schemeClr w14:val="accent1"/>
              </w14:solidFill>
            </w14:textFill>
          </w:rPr>
        </w:pPr>
        <w:sdt>
          <w:sdtPr>
            <w:rPr>
              <w:rFonts w:ascii="Times New Roman" w:hAnsi="Times New Roman" w:cs="Times New Roman"/>
              <w:sz w:val="16"/>
              <w:szCs w:val="16"/>
            </w:rPr>
            <w:id w:val="1499304472"/>
            <w:docPartObj>
              <w:docPartGallery w:val="autotext"/>
            </w:docPartObj>
          </w:sdtPr>
          <w:sdtEndPr>
            <w:rPr>
              <w:rFonts w:ascii="Times New Roman" w:hAnsi="Times New Roman" w:cs="Times New Roman"/>
              <w:color w:val="4472C4" w:themeColor="accent1"/>
              <w:spacing w:val="60"/>
              <w:sz w:val="16"/>
              <w:szCs w:val="16"/>
              <w14:textFill>
                <w14:solidFill>
                  <w14:schemeClr w14:val="accent1"/>
                </w14:solidFill>
              </w14:textFill>
            </w:rPr>
          </w:sdtEndPr>
          <w:sdtContent>
            <w:r>
              <w:rPr>
                <w:rFonts w:ascii="Times New Roman" w:hAnsi="Times New Roman" w:cs="Times New Roman"/>
                <w:b/>
                <w:bCs/>
                <w:color w:val="000000" w:themeColor="text1"/>
                <w:sz w:val="16"/>
                <w:szCs w:val="16"/>
                <w14:textFill>
                  <w14:solidFill>
                    <w14:schemeClr w14:val="tx1"/>
                  </w14:solidFill>
                </w14:textFill>
              </w:rPr>
              <w:t>Permalink/DOI</w:t>
            </w:r>
            <w:r>
              <w:rPr>
                <w:rFonts w:ascii="Times New Roman" w:hAnsi="Times New Roman" w:cs="Times New Roman"/>
                <w:color w:val="000000" w:themeColor="text1"/>
                <w:sz w:val="16"/>
                <w:szCs w:val="16"/>
                <w14:textFill>
                  <w14:solidFill>
                    <w14:schemeClr w14:val="tx1"/>
                  </w14:solidFill>
                </w14:textFill>
              </w:rPr>
              <w:t xml:space="preserve">: </w:t>
            </w:r>
            <w:r>
              <w:fldChar w:fldCharType="begin"/>
            </w:r>
            <w:r>
              <w:instrText xml:space="preserve"> HYPERLINK "https://doi.org/10.26618/jk/xxxx" </w:instrText>
            </w:r>
            <w:r>
              <w:fldChar w:fldCharType="separate"/>
            </w:r>
            <w:r>
              <w:rPr>
                <w:rStyle w:val="8"/>
                <w:rFonts w:ascii="Times New Roman" w:hAnsi="Times New Roman" w:cs="Times New Roman"/>
                <w:sz w:val="16"/>
                <w:szCs w:val="16"/>
              </w:rPr>
              <w:t>https://doi.org/10.26618/jk/xxxx</w:t>
            </w:r>
            <w:r>
              <w:rPr>
                <w:rStyle w:val="8"/>
                <w:rFonts w:ascii="Times New Roman" w:hAnsi="Times New Roman" w:cs="Times New Roman"/>
                <w:sz w:val="16"/>
                <w:szCs w:val="16"/>
              </w:rPr>
              <w:fldChar w:fldCharType="end"/>
            </w:r>
            <w:r>
              <w:rPr>
                <w:rFonts w:ascii="Times New Roman" w:hAnsi="Times New Roman" w:cs="Times New Roman"/>
                <w:color w:val="000000" w:themeColor="text1"/>
                <w:sz w:val="16"/>
                <w:szCs w:val="16"/>
                <w14:textFill>
                  <w14:solidFill>
                    <w14:schemeClr w14:val="tx1"/>
                  </w14:solidFill>
                </w14:textFill>
              </w:rPr>
              <w:tab/>
            </w:r>
            <w:r>
              <w:rPr>
                <w:rFonts w:ascii="Times New Roman" w:hAnsi="Times New Roman" w:cs="Times New Roman"/>
                <w:color w:val="000000" w:themeColor="text1"/>
                <w:sz w:val="16"/>
                <w:szCs w:val="16"/>
                <w14:textFill>
                  <w14:solidFill>
                    <w14:schemeClr w14:val="tx1"/>
                  </w14:solidFill>
                </w14:textFill>
              </w:rPr>
              <w:tab/>
            </w:r>
            <w:r>
              <w:rPr>
                <w:rFonts w:ascii="Times New Roman" w:hAnsi="Times New Roman" w:cs="Times New Roman"/>
                <w:color w:val="000000" w:themeColor="text1"/>
                <w:sz w:val="16"/>
                <w:szCs w:val="16"/>
                <w14:textFill>
                  <w14:solidFill>
                    <w14:schemeClr w14:val="tx1"/>
                  </w14:solidFill>
                </w14:textFill>
              </w:rPr>
              <w:tab/>
            </w:r>
            <w:r>
              <w:rPr>
                <w:rFonts w:ascii="Times New Roman" w:hAnsi="Times New Roman" w:cs="Times New Roman"/>
                <w:color w:val="000000" w:themeColor="text1"/>
                <w:sz w:val="16"/>
                <w:szCs w:val="16"/>
                <w14:textFill>
                  <w14:solidFill>
                    <w14:schemeClr w14:val="tx1"/>
                  </w14:solidFill>
                </w14:textFill>
              </w:rPr>
              <w:t>1</w:t>
            </w:r>
          </w:sdtContent>
        </w:sdt>
      </w:p>
    </w:sdtContent>
  </w:sdt>
  <w:p w14:paraId="40531871">
    <w:pPr>
      <w:pStyle w:val="6"/>
      <w:jc w:val="cen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16"/>
        <w:szCs w:val="16"/>
      </w:rPr>
      <w:id w:val="412329101"/>
      <w:docPartObj>
        <w:docPartGallery w:val="autotext"/>
      </w:docPartObj>
    </w:sdtPr>
    <w:sdtEndPr>
      <w:rPr>
        <w:rFonts w:ascii="Times New Roman" w:hAnsi="Times New Roman" w:cs="Times New Roman"/>
        <w:color w:val="4472C4" w:themeColor="accent1"/>
        <w:spacing w:val="60"/>
        <w:sz w:val="16"/>
        <w:szCs w:val="16"/>
        <w14:textFill>
          <w14:solidFill>
            <w14:schemeClr w14:val="accent1"/>
          </w14:solidFill>
        </w14:textFill>
      </w:rPr>
    </w:sdtEndPr>
    <w:sdtContent>
      <w:p w14:paraId="22280231">
        <w:pPr>
          <w:pStyle w:val="6"/>
          <w:pBdr>
            <w:top w:val="single" w:color="auto" w:sz="4" w:space="1"/>
          </w:pBdr>
          <w:tabs>
            <w:tab w:val="left" w:pos="8931"/>
          </w:tabs>
          <w:rPr>
            <w:rFonts w:ascii="Times New Roman" w:hAnsi="Times New Roman" w:cs="Times New Roman"/>
            <w:color w:val="4472C4" w:themeColor="accent1"/>
            <w:sz w:val="16"/>
            <w:szCs w:val="16"/>
            <w14:textFill>
              <w14:solidFill>
                <w14:schemeClr w14:val="accent1"/>
              </w14:solidFill>
            </w14:textFill>
          </w:rPr>
        </w:pPr>
        <w:sdt>
          <w:sdtPr>
            <w:rPr>
              <w:rFonts w:ascii="Times New Roman" w:hAnsi="Times New Roman" w:cs="Times New Roman"/>
              <w:sz w:val="16"/>
              <w:szCs w:val="16"/>
            </w:rPr>
            <w:id w:val="797537471"/>
            <w:docPartObj>
              <w:docPartGallery w:val="autotext"/>
            </w:docPartObj>
          </w:sdtPr>
          <w:sdtEndPr>
            <w:rPr>
              <w:rFonts w:ascii="Times New Roman" w:hAnsi="Times New Roman" w:cs="Times New Roman"/>
              <w:color w:val="4472C4" w:themeColor="accent1"/>
              <w:spacing w:val="60"/>
              <w:sz w:val="16"/>
              <w:szCs w:val="16"/>
              <w14:textFill>
                <w14:solidFill>
                  <w14:schemeClr w14:val="accent1"/>
                </w14:solidFill>
              </w14:textFill>
            </w:rPr>
          </w:sdtEndPr>
          <w:sdtContent>
            <w:r>
              <w:rPr>
                <w:rFonts w:ascii="Times New Roman" w:hAnsi="Times New Roman" w:cs="Times New Roman"/>
                <w:b/>
                <w:bCs/>
                <w:color w:val="000000" w:themeColor="text1"/>
                <w:sz w:val="16"/>
                <w:szCs w:val="16"/>
                <w14:textFill>
                  <w14:solidFill>
                    <w14:schemeClr w14:val="tx1"/>
                  </w14:solidFill>
                </w14:textFill>
              </w:rPr>
              <w:t>Permalink/DOI</w:t>
            </w:r>
            <w:r>
              <w:rPr>
                <w:rFonts w:ascii="Times New Roman" w:hAnsi="Times New Roman" w:cs="Times New Roman"/>
                <w:color w:val="000000" w:themeColor="text1"/>
                <w:sz w:val="16"/>
                <w:szCs w:val="16"/>
                <w14:textFill>
                  <w14:solidFill>
                    <w14:schemeClr w14:val="tx1"/>
                  </w14:solidFill>
                </w14:textFill>
              </w:rPr>
              <w:t xml:space="preserve">: </w:t>
            </w:r>
            <w:r>
              <w:fldChar w:fldCharType="begin"/>
            </w:r>
            <w:r>
              <w:instrText xml:space="preserve"> HYPERLINK "https://doi.org/10.26618/jk/xxxx" </w:instrText>
            </w:r>
            <w:r>
              <w:fldChar w:fldCharType="separate"/>
            </w:r>
            <w:r>
              <w:rPr>
                <w:rStyle w:val="8"/>
                <w:rFonts w:ascii="Times New Roman" w:hAnsi="Times New Roman" w:cs="Times New Roman"/>
                <w:sz w:val="16"/>
                <w:szCs w:val="16"/>
              </w:rPr>
              <w:t>https://doi.org/10.26618/jk/xxxx</w:t>
            </w:r>
            <w:r>
              <w:rPr>
                <w:rStyle w:val="8"/>
                <w:rFonts w:ascii="Times New Roman" w:hAnsi="Times New Roman" w:cs="Times New Roman"/>
                <w:sz w:val="16"/>
                <w:szCs w:val="16"/>
              </w:rPr>
              <w:fldChar w:fldCharType="end"/>
            </w:r>
            <w:r>
              <w:rPr>
                <w:rFonts w:ascii="Times New Roman" w:hAnsi="Times New Roman" w:cs="Times New Roman"/>
                <w:color w:val="000000" w:themeColor="text1"/>
                <w:sz w:val="16"/>
                <w:szCs w:val="16"/>
                <w14:textFill>
                  <w14:solidFill>
                    <w14:schemeClr w14:val="tx1"/>
                  </w14:solidFill>
                </w14:textFill>
              </w:rPr>
              <w:tab/>
            </w:r>
            <w:r>
              <w:rPr>
                <w:rFonts w:ascii="Times New Roman" w:hAnsi="Times New Roman" w:cs="Times New Roman"/>
                <w:color w:val="000000" w:themeColor="text1"/>
                <w:sz w:val="16"/>
                <w:szCs w:val="16"/>
                <w14:textFill>
                  <w14:solidFill>
                    <w14:schemeClr w14:val="tx1"/>
                  </w14:solidFill>
                </w14:textFill>
              </w:rPr>
              <w:tab/>
            </w:r>
            <w:r>
              <w:rPr>
                <w:rFonts w:ascii="Times New Roman" w:hAnsi="Times New Roman" w:cs="Times New Roman"/>
                <w:color w:val="000000" w:themeColor="text1"/>
                <w:sz w:val="16"/>
                <w:szCs w:val="16"/>
                <w14:textFill>
                  <w14:solidFill>
                    <w14:schemeClr w14:val="tx1"/>
                  </w14:solidFill>
                </w14:textFill>
              </w:rPr>
              <w:tab/>
            </w:r>
            <w:r>
              <w:rPr>
                <w:rFonts w:ascii="Times New Roman" w:hAnsi="Times New Roman" w:cs="Times New Roman"/>
                <w:color w:val="000000" w:themeColor="text1"/>
                <w:sz w:val="16"/>
                <w:szCs w:val="16"/>
                <w14:textFill>
                  <w14:solidFill>
                    <w14:schemeClr w14:val="tx1"/>
                  </w14:solidFill>
                </w14:textFill>
              </w:rPr>
              <w:t>2</w:t>
            </w:r>
          </w:sdtContent>
        </w:sdt>
      </w:p>
    </w:sdtContent>
  </w:sdt>
  <w:p w14:paraId="73E8E0B3">
    <w:pPr>
      <w:pStyle w:val="6"/>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98401">
    <w:pPr>
      <w:tabs>
        <w:tab w:val="right" w:pos="8789"/>
      </w:tabs>
      <w:spacing w:after="0" w:line="240" w:lineRule="auto"/>
      <w:rPr>
        <w:rFonts w:ascii="Times New Roman" w:hAnsi="Times New Roman" w:eastAsia="Times New Roman" w:cs="Times New Roman"/>
        <w:b/>
        <w:sz w:val="16"/>
        <w:szCs w:val="16"/>
      </w:rPr>
    </w:pPr>
    <w:r>
      <w:rPr>
        <w:rFonts w:ascii="Times New Roman" w:hAnsi="Times New Roman" w:eastAsia="Times New Roman" w:cs="Times New Roman"/>
        <w:b/>
        <w:sz w:val="16"/>
        <w:szCs w:val="16"/>
      </w:rPr>
      <w:drawing>
        <wp:anchor distT="0" distB="0" distL="114300" distR="114300" simplePos="0" relativeHeight="251660288" behindDoc="1" locked="0" layoutInCell="1" allowOverlap="1">
          <wp:simplePos x="0" y="0"/>
          <wp:positionH relativeFrom="column">
            <wp:posOffset>8255</wp:posOffset>
          </wp:positionH>
          <wp:positionV relativeFrom="paragraph">
            <wp:posOffset>-285115</wp:posOffset>
          </wp:positionV>
          <wp:extent cx="1680210" cy="39751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80210" cy="397692"/>
                  </a:xfrm>
                  <a:prstGeom prst="rect">
                    <a:avLst/>
                  </a:prstGeom>
                </pic:spPr>
              </pic:pic>
            </a:graphicData>
          </a:graphic>
        </wp:anchor>
      </w:drawing>
    </w:r>
  </w:p>
  <w:p w14:paraId="429A21E9">
    <w:pPr>
      <w:tabs>
        <w:tab w:val="left" w:pos="6096"/>
        <w:tab w:val="right" w:pos="9072"/>
      </w:tabs>
      <w:spacing w:after="0" w:line="240" w:lineRule="auto"/>
      <w:ind w:right="288"/>
      <w:rPr>
        <w:rFonts w:ascii="Times New Roman" w:hAnsi="Times New Roman" w:eastAsia="Times New Roman" w:cs="Times New Roman"/>
        <w:sz w:val="16"/>
        <w:szCs w:val="16"/>
      </w:rPr>
    </w:pPr>
    <w:r>
      <w:rPr>
        <w:rFonts w:ascii="Times New Roman" w:hAnsi="Times New Roman" w:eastAsia="Calibri" w:cs="Times New Roman"/>
        <w:color w:val="000000"/>
        <w:sz w:val="16"/>
        <w:szCs w:val="16"/>
      </w:rPr>
      <w:t xml:space="preserve">p-ISSN: 2355-2638, e-ISSN: 2746-1866, </w:t>
    </w:r>
    <w:r>
      <w:rPr>
        <w:rFonts w:ascii="Times New Roman" w:hAnsi="Times New Roman" w:eastAsia="Calibri" w:cs="Times New Roman"/>
        <w:sz w:val="16"/>
        <w:szCs w:val="16"/>
      </w:rPr>
      <w:t xml:space="preserve">Hal. … </w:t>
    </w:r>
    <w:r>
      <w:rPr>
        <w:rFonts w:ascii="Times New Roman" w:hAnsi="Times New Roman" w:eastAsia="Calibri" w:cs="Times New Roman"/>
        <w:color w:val="000000"/>
        <w:sz w:val="16"/>
        <w:szCs w:val="16"/>
      </w:rPr>
      <w:t>Vol. … No. …, 2021</w:t>
    </w:r>
    <w:r>
      <w:rPr>
        <w:rFonts w:ascii="Times New Roman" w:hAnsi="Times New Roman" w:eastAsia="Calibri" w:cs="Times New Roman"/>
        <w:color w:val="000000"/>
        <w:sz w:val="16"/>
        <w:szCs w:val="16"/>
      </w:rPr>
      <w:tab/>
    </w:r>
    <w:r>
      <w:rPr>
        <w:rFonts w:ascii="Times New Roman" w:hAnsi="Times New Roman" w:eastAsia="Calibri" w:cs="Times New Roman"/>
        <w:color w:val="000000"/>
        <w:sz w:val="16"/>
        <w:szCs w:val="16"/>
      </w:rPr>
      <w:tab/>
    </w:r>
    <w:r>
      <w:fldChar w:fldCharType="begin"/>
    </w:r>
    <w:r>
      <w:instrText xml:space="preserve"> HYPERLINK "https://journal.unismuh.ac.id/index.php/konfiks" </w:instrText>
    </w:r>
    <w:r>
      <w:fldChar w:fldCharType="separate"/>
    </w:r>
    <w:r>
      <w:rPr>
        <w:rStyle w:val="8"/>
        <w:rFonts w:ascii="Times New Roman" w:hAnsi="Times New Roman" w:eastAsia="Calibri" w:cs="Times New Roman"/>
        <w:sz w:val="16"/>
        <w:szCs w:val="16"/>
      </w:rPr>
      <w:t>https://journal.unismuh.ac.id/index.php/konfiks</w:t>
    </w:r>
    <w:r>
      <w:rPr>
        <w:rStyle w:val="8"/>
        <w:rFonts w:ascii="Times New Roman" w:hAnsi="Times New Roman" w:eastAsia="Calibri" w:cs="Times New Roman"/>
        <w:sz w:val="16"/>
        <w:szCs w:val="16"/>
      </w:rPr>
      <w:fldChar w:fldCharType="end"/>
    </w:r>
  </w:p>
  <w:p w14:paraId="2E13B1C0">
    <w:pPr>
      <w:tabs>
        <w:tab w:val="center" w:pos="4680"/>
      </w:tabs>
      <w:spacing w:after="0" w:line="240" w:lineRule="auto"/>
      <w:ind w:right="288"/>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16"/>
        <w:szCs w:val="16"/>
      </w:rPr>
      <mc:AlternateContent>
        <mc:Choice Requires="wpg">
          <w:drawing>
            <wp:anchor distT="0" distB="0" distL="114300" distR="114300" simplePos="0" relativeHeight="251659264" behindDoc="0" locked="0" layoutInCell="1" allowOverlap="1">
              <wp:simplePos x="0" y="0"/>
              <wp:positionH relativeFrom="column">
                <wp:posOffset>12700</wp:posOffset>
              </wp:positionH>
              <wp:positionV relativeFrom="paragraph">
                <wp:posOffset>94615</wp:posOffset>
              </wp:positionV>
              <wp:extent cx="5796280" cy="25400"/>
              <wp:effectExtent l="0" t="0" r="33655" b="12700"/>
              <wp:wrapNone/>
              <wp:docPr id="4" name="Group 4"/>
              <wp:cNvGraphicFramePr/>
              <a:graphic xmlns:a="http://schemas.openxmlformats.org/drawingml/2006/main">
                <a:graphicData uri="http://schemas.microsoft.com/office/word/2010/wordprocessingGroup">
                  <wpg:wgp>
                    <wpg:cNvGrpSpPr/>
                    <wpg:grpSpPr>
                      <a:xfrm>
                        <a:off x="0" y="0"/>
                        <a:ext cx="5796000" cy="25603"/>
                        <a:chOff x="0" y="0"/>
                        <a:chExt cx="5727939" cy="25603"/>
                      </a:xfrm>
                    </wpg:grpSpPr>
                    <wps:wsp>
                      <wps:cNvPr id="13" name="Straight Connector 13"/>
                      <wps:cNvCnPr/>
                      <wps:spPr>
                        <a:xfrm>
                          <a:off x="0" y="25603"/>
                          <a:ext cx="5727700" cy="0"/>
                        </a:xfrm>
                        <a:prstGeom prst="line">
                          <a:avLst/>
                        </a:prstGeom>
                        <a:noFill/>
                        <a:ln w="12700" cap="flat" cmpd="sng" algn="ctr">
                          <a:solidFill>
                            <a:sysClr val="windowText" lastClr="000000">
                              <a:shade val="95000"/>
                              <a:satMod val="105000"/>
                            </a:sysClr>
                          </a:solidFill>
                          <a:prstDash val="solid"/>
                        </a:ln>
                        <a:effectLst/>
                      </wps:spPr>
                      <wps:bodyPr/>
                    </wps:wsp>
                    <wps:wsp>
                      <wps:cNvPr id="18" name="Straight Connector 18"/>
                      <wps:cNvCnPr/>
                      <wps:spPr>
                        <a:xfrm>
                          <a:off x="0" y="0"/>
                          <a:ext cx="5727939" cy="0"/>
                        </a:xfrm>
                        <a:prstGeom prst="line">
                          <a:avLst/>
                        </a:prstGeom>
                        <a:noFill/>
                        <a:ln w="3175" cap="flat" cmpd="sng" algn="ctr">
                          <a:solidFill>
                            <a:sysClr val="windowText" lastClr="000000">
                              <a:shade val="95000"/>
                              <a:satMod val="105000"/>
                            </a:sysClr>
                          </a:solidFill>
                          <a:prstDash val="solid"/>
                        </a:ln>
                        <a:effectLst/>
                      </wps:spPr>
                      <wps:bodyPr/>
                    </wps:wsp>
                  </wpg:wgp>
                </a:graphicData>
              </a:graphic>
            </wp:anchor>
          </w:drawing>
        </mc:Choice>
        <mc:Fallback>
          <w:pict>
            <v:group id="_x0000_s1026" o:spid="_x0000_s1026" o:spt="203" style="position:absolute;left:0pt;margin-left:1pt;margin-top:7.45pt;height:2pt;width:456.4pt;z-index:251659264;mso-width-relative:page;mso-height-relative:page;" coordsize="5727939,25603" o:gfxdata="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DlsYaD1wAAAAcBAAAPAAAAAAAAAAEAIAAAACIA&#10;AABkcnMvZG93bnJldi54bWxQSwECFAAUAAAACACHTuJAgxgRNnwCAABFBwAADgAAAAAAAAABACAA&#10;AAAmAQAAZHJzL2Uyb0RvYy54bWxQSwUGAAAAAAYABgBZAQAAFAYAAAAA&#10;">
              <o:lock v:ext="edit" aspectratio="f"/>
              <v:line id="_x0000_s1026" o:spid="_x0000_s1026" o:spt="20" style="position:absolute;left:0;top:25603;height:0;width:5727700;" filled="f" stroked="t" coordsize="21600,21600" o:gfxdata="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o2XfugAAANsA&#10;AAAPAAAAAAAAAAEAIAAAACIAAABkcnMvZG93bnJldi54bWxQSwECFAAUAAAACACHTuJAMy8FnjsA&#10;AAA5AAAAEAAAAAAAAAABACAAAAAJAQAAZHJzL3NoYXBleG1sLnhtbFBLBQYAAAAABgAGAFsBAACz&#10;AwAAAAA=&#10;">
                <v:fill on="f" focussize="0,0"/>
                <v:stroke weight="1pt" color="#000000" joinstyle="round"/>
                <v:imagedata o:title=""/>
                <o:lock v:ext="edit" aspectratio="f"/>
              </v:line>
              <v:line id="_x0000_s1026" o:spid="_x0000_s1026" o:spt="20" style="position:absolute;left:0;top:0;height:0;width:5727939;" filled="f" stroked="t" coordsize="21600,21600" o:gfxdata="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wbExb4A&#10;AADbAAAADwAAAAAAAAABACAAAAAiAAAAZHJzL2Rvd25yZXYueG1sUEsBAhQAFAAAAAgAh07iQDMv&#10;BZ47AAAAOQAAABAAAAAAAAAAAQAgAAAADQEAAGRycy9zaGFwZXhtbC54bWxQSwUGAAAAAAYABgBb&#10;AQAAtwMAAAAA&#10;">
                <v:fill on="f" focussize="0,0"/>
                <v:stroke weight="0.25pt" color="#000000" joinstyle="round"/>
                <v:imagedata o:title=""/>
                <o:lock v:ext="edit" aspectratio="f"/>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FD6E21"/>
    <w:multiLevelType w:val="multilevel"/>
    <w:tmpl w:val="4FFD6E21"/>
    <w:lvl w:ilvl="0" w:tentative="0">
      <w:start w:val="1"/>
      <w:numFmt w:val="decimal"/>
      <w:lvlText w:val="%1."/>
      <w:lvlJc w:val="lef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5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E4E"/>
    <w:rsid w:val="00071781"/>
    <w:rsid w:val="0010127F"/>
    <w:rsid w:val="002957F9"/>
    <w:rsid w:val="002C118E"/>
    <w:rsid w:val="00305243"/>
    <w:rsid w:val="003A0FE8"/>
    <w:rsid w:val="003D7AE0"/>
    <w:rsid w:val="004E4FAE"/>
    <w:rsid w:val="00572870"/>
    <w:rsid w:val="00582305"/>
    <w:rsid w:val="0062718B"/>
    <w:rsid w:val="00664184"/>
    <w:rsid w:val="0066547A"/>
    <w:rsid w:val="00682A94"/>
    <w:rsid w:val="006A0171"/>
    <w:rsid w:val="006C634C"/>
    <w:rsid w:val="006D7245"/>
    <w:rsid w:val="007B3F61"/>
    <w:rsid w:val="007C7BFE"/>
    <w:rsid w:val="00875E4E"/>
    <w:rsid w:val="0088228C"/>
    <w:rsid w:val="009333C7"/>
    <w:rsid w:val="0094110C"/>
    <w:rsid w:val="009761BF"/>
    <w:rsid w:val="00B16DCB"/>
    <w:rsid w:val="00C45314"/>
    <w:rsid w:val="00C65960"/>
    <w:rsid w:val="00DA086A"/>
    <w:rsid w:val="00EA515C"/>
    <w:rsid w:val="00F03607"/>
    <w:rsid w:val="00FA4CB7"/>
    <w:rsid w:val="00FC63F8"/>
    <w:rsid w:val="7D9D75DD"/>
    <w:rsid w:val="CFFBCC57"/>
    <w:rsid w:val="D7FFFFAC"/>
    <w:rsid w:val="E7EDD5E9"/>
    <w:rsid w:val="FFBFB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7"/>
    <w:qFormat/>
    <w:uiPriority w:val="0"/>
    <w:pPr>
      <w:keepNext/>
      <w:spacing w:after="0" w:line="240" w:lineRule="auto"/>
      <w:outlineLvl w:val="0"/>
    </w:pPr>
    <w:rPr>
      <w:rFonts w:ascii="Times New Roman" w:hAnsi="Times New Roman" w:eastAsia="Times New Roman" w:cs="Times New Roman"/>
      <w:b/>
      <w:i/>
      <w:sz w:val="40"/>
      <w:szCs w:val="20"/>
    </w:rPr>
  </w:style>
  <w:style w:type="paragraph" w:styleId="3">
    <w:name w:val="heading 3"/>
    <w:basedOn w:val="1"/>
    <w:next w:val="1"/>
    <w:link w:val="19"/>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2"/>
    <w:unhideWhenUsed/>
    <w:uiPriority w:val="99"/>
    <w:pPr>
      <w:tabs>
        <w:tab w:val="center" w:pos="4680"/>
        <w:tab w:val="right" w:pos="9360"/>
      </w:tabs>
      <w:spacing w:after="0" w:line="240" w:lineRule="auto"/>
    </w:pPr>
  </w:style>
  <w:style w:type="paragraph" w:styleId="7">
    <w:name w:val="header"/>
    <w:basedOn w:val="1"/>
    <w:link w:val="11"/>
    <w:unhideWhenUsed/>
    <w:uiPriority w:val="99"/>
    <w:pPr>
      <w:tabs>
        <w:tab w:val="center" w:pos="4680"/>
        <w:tab w:val="right" w:pos="9360"/>
      </w:tabs>
      <w:spacing w:after="0" w:line="240" w:lineRule="auto"/>
    </w:pPr>
  </w:style>
  <w:style w:type="character" w:styleId="8">
    <w:name w:val="Hyperlink"/>
    <w:basedOn w:val="4"/>
    <w:uiPriority w:val="99"/>
    <w:rPr>
      <w:color w:val="0000FF"/>
      <w:u w:val="single"/>
    </w:rPr>
  </w:style>
  <w:style w:type="table" w:styleId="9">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Title"/>
    <w:basedOn w:val="1"/>
    <w:link w:val="14"/>
    <w:qFormat/>
    <w:uiPriority w:val="0"/>
    <w:pPr>
      <w:spacing w:after="0" w:line="240" w:lineRule="auto"/>
      <w:jc w:val="center"/>
    </w:pPr>
    <w:rPr>
      <w:rFonts w:eastAsia="Times New Roman"/>
      <w:b/>
      <w:sz w:val="20"/>
    </w:rPr>
  </w:style>
  <w:style w:type="character" w:customStyle="1" w:styleId="11">
    <w:name w:val="Header Char"/>
    <w:basedOn w:val="4"/>
    <w:link w:val="7"/>
    <w:uiPriority w:val="99"/>
  </w:style>
  <w:style w:type="character" w:customStyle="1" w:styleId="12">
    <w:name w:val="Footer Char"/>
    <w:basedOn w:val="4"/>
    <w:link w:val="6"/>
    <w:uiPriority w:val="99"/>
  </w:style>
  <w:style w:type="character" w:customStyle="1" w:styleId="13">
    <w:name w:val="Unresolved Mention"/>
    <w:basedOn w:val="4"/>
    <w:semiHidden/>
    <w:unhideWhenUsed/>
    <w:uiPriority w:val="99"/>
    <w:rPr>
      <w:color w:val="605E5C"/>
      <w:shd w:val="clear" w:color="auto" w:fill="E1DFDD"/>
    </w:rPr>
  </w:style>
  <w:style w:type="character" w:customStyle="1" w:styleId="14">
    <w:name w:val="Title Char"/>
    <w:basedOn w:val="4"/>
    <w:link w:val="10"/>
    <w:uiPriority w:val="0"/>
    <w:rPr>
      <w:rFonts w:eastAsia="Times New Roman"/>
      <w:b/>
      <w:sz w:val="20"/>
    </w:rPr>
  </w:style>
  <w:style w:type="character" w:customStyle="1" w:styleId="15">
    <w:name w:val="Title Char1"/>
    <w:basedOn w:val="4"/>
    <w:uiPriority w:val="10"/>
    <w:rPr>
      <w:rFonts w:asciiTheme="majorHAnsi" w:hAnsiTheme="majorHAnsi" w:eastAsiaTheme="majorEastAsia" w:cstheme="majorBidi"/>
      <w:spacing w:val="-10"/>
      <w:kern w:val="28"/>
      <w:sz w:val="56"/>
      <w:szCs w:val="56"/>
    </w:rPr>
  </w:style>
  <w:style w:type="paragraph" w:customStyle="1" w:styleId="16">
    <w:name w:val="Page Number1"/>
    <w:basedOn w:val="1"/>
    <w:uiPriority w:val="0"/>
    <w:pPr>
      <w:suppressAutoHyphens/>
      <w:spacing w:after="0" w:line="240" w:lineRule="auto"/>
      <w:jc w:val="center"/>
    </w:pPr>
    <w:rPr>
      <w:rFonts w:ascii="Times" w:hAnsi="Times" w:eastAsia="Times New Roman" w:cs="Times New Roman"/>
      <w:sz w:val="24"/>
      <w:szCs w:val="20"/>
      <w:lang w:eastAsia="ar-SA"/>
    </w:rPr>
  </w:style>
  <w:style w:type="character" w:customStyle="1" w:styleId="17">
    <w:name w:val="Heading 1 Char"/>
    <w:basedOn w:val="4"/>
    <w:link w:val="2"/>
    <w:uiPriority w:val="0"/>
    <w:rPr>
      <w:rFonts w:ascii="Times New Roman" w:hAnsi="Times New Roman" w:eastAsia="Times New Roman" w:cs="Times New Roman"/>
      <w:b/>
      <w:i/>
      <w:sz w:val="40"/>
      <w:szCs w:val="20"/>
    </w:rPr>
  </w:style>
  <w:style w:type="paragraph" w:styleId="18">
    <w:name w:val="List Paragraph"/>
    <w:basedOn w:val="1"/>
    <w:qFormat/>
    <w:uiPriority w:val="34"/>
    <w:pPr>
      <w:spacing w:after="0" w:line="240" w:lineRule="auto"/>
      <w:ind w:left="720"/>
      <w:contextualSpacing/>
    </w:pPr>
    <w:rPr>
      <w:rFonts w:ascii="Times New Roman" w:hAnsi="Times New Roman" w:eastAsia="Times New Roman" w:cs="Times New Roman"/>
      <w:sz w:val="24"/>
      <w:szCs w:val="20"/>
    </w:rPr>
  </w:style>
  <w:style w:type="character" w:customStyle="1" w:styleId="19">
    <w:name w:val="Heading 3 Char"/>
    <w:basedOn w:val="4"/>
    <w:link w:val="3"/>
    <w:semiHidden/>
    <w:uiPriority w:val="9"/>
    <w:rPr>
      <w:rFonts w:asciiTheme="majorHAnsi" w:hAnsiTheme="majorHAnsi" w:eastAsiaTheme="majorEastAsia" w:cstheme="majorBidi"/>
      <w:color w:val="203864" w:themeColor="accent1" w:themeShade="8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Pre Test</a:t>
            </a:r>
          </a:p>
        </c:rich>
      </c:tx>
      <c:layout/>
      <c:overlay val="0"/>
      <c:spPr>
        <a:noFill/>
        <a:ln>
          <a:noFill/>
        </a:ln>
        <a:effectLst/>
      </c:spPr>
    </c:title>
    <c:autoTitleDeleted val="0"/>
    <c:plotArea>
      <c:layout/>
      <c:barChart>
        <c:barDir val="col"/>
        <c:grouping val="clustered"/>
        <c:varyColors val="0"/>
        <c:ser>
          <c:idx val="0"/>
          <c:order val="0"/>
          <c:tx>
            <c:strRef>
              <c:f>Sheet1!#REF!</c:f>
              <c:strCache>
                <c:ptCount val="1"/>
                <c:pt idx="0">
                  <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Sheet1!$A$1:$A$2</c:f>
              <c:strCache>
                <c:ptCount val="2"/>
                <c:pt idx="0">
                  <c:v>successful students</c:v>
                </c:pt>
                <c:pt idx="1">
                  <c:v>unsuccessful students</c:v>
                </c:pt>
              </c:strCache>
            </c:strRef>
          </c:cat>
          <c:val>
            <c:numRef>
              <c:f>Sheet1!$B$1:$B$2</c:f>
              <c:numCache>
                <c:formatCode>General</c:formatCode>
                <c:ptCount val="2"/>
                <c:pt idx="0">
                  <c:v>28.57</c:v>
                </c:pt>
                <c:pt idx="1">
                  <c:v>71.43</c:v>
                </c:pt>
              </c:numCache>
            </c:numRef>
          </c:val>
        </c:ser>
        <c:dLbls>
          <c:showLegendKey val="0"/>
          <c:showVal val="1"/>
          <c:showCatName val="0"/>
          <c:showSerName val="0"/>
          <c:showPercent val="0"/>
          <c:showBubbleSize val="0"/>
        </c:dLbls>
        <c:gapWidth val="246"/>
        <c:overlap val="-28"/>
        <c:axId val="35319037"/>
        <c:axId val="421233510"/>
      </c:barChart>
      <c:catAx>
        <c:axId val="353190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421233510"/>
        <c:crosses val="autoZero"/>
        <c:auto val="1"/>
        <c:lblAlgn val="ctr"/>
        <c:lblOffset val="100"/>
        <c:noMultiLvlLbl val="0"/>
      </c:catAx>
      <c:valAx>
        <c:axId val="42123351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531903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5fe9330-bc46-4d6e-b9e5-4b0a3b58a03c}"/>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Cycle I</a:t>
            </a:r>
          </a:p>
        </c:rich>
      </c:tx>
      <c:layout/>
      <c:overlay val="0"/>
      <c:spPr>
        <a:noFill/>
        <a:ln>
          <a:noFill/>
        </a:ln>
        <a:effectLst/>
      </c:spPr>
    </c:title>
    <c:autoTitleDeleted val="0"/>
    <c:plotArea>
      <c:layout/>
      <c:barChart>
        <c:barDir val="col"/>
        <c:grouping val="clustered"/>
        <c:varyColors val="0"/>
        <c:ser>
          <c:idx val="0"/>
          <c:order val="0"/>
          <c:tx>
            <c:strRef>
              <c:f>Sheet1!#REF!</c:f>
              <c:strCache>
                <c:ptCount val="1"/>
                <c:pt idx="0">
                  <c:v/>
                </c:pt>
              </c:strCache>
            </c:strRef>
          </c:tx>
          <c:spPr>
            <a:solidFill>
              <a:srgbClr val="92D050"/>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Sheet1!$A$1:$A$2</c:f>
              <c:strCache>
                <c:ptCount val="2"/>
                <c:pt idx="0">
                  <c:v>successful students</c:v>
                </c:pt>
                <c:pt idx="1">
                  <c:v>unsuccessful students</c:v>
                </c:pt>
              </c:strCache>
            </c:strRef>
          </c:cat>
          <c:val>
            <c:numRef>
              <c:f>Sheet1!$B$1:$B$2</c:f>
              <c:numCache>
                <c:formatCode>General</c:formatCode>
                <c:ptCount val="2"/>
                <c:pt idx="0">
                  <c:v>39</c:v>
                </c:pt>
                <c:pt idx="1">
                  <c:v>61</c:v>
                </c:pt>
              </c:numCache>
            </c:numRef>
          </c:val>
        </c:ser>
        <c:dLbls>
          <c:showLegendKey val="0"/>
          <c:showVal val="1"/>
          <c:showCatName val="0"/>
          <c:showSerName val="0"/>
          <c:showPercent val="0"/>
          <c:showBubbleSize val="0"/>
        </c:dLbls>
        <c:gapWidth val="246"/>
        <c:overlap val="-28"/>
        <c:axId val="35319037"/>
        <c:axId val="421233510"/>
      </c:barChart>
      <c:catAx>
        <c:axId val="353190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421233510"/>
        <c:crosses val="autoZero"/>
        <c:auto val="1"/>
        <c:lblAlgn val="ctr"/>
        <c:lblOffset val="100"/>
        <c:noMultiLvlLbl val="0"/>
      </c:catAx>
      <c:valAx>
        <c:axId val="42123351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531903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96fba06-5286-4ee7-b445-a4336baccd5d}"/>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1" i="0" u="none" strike="noStrike" kern="1200" baseline="0">
                <a:solidFill>
                  <a:schemeClr val="tx1">
                    <a:lumMod val="75000"/>
                    <a:lumOff val="25000"/>
                  </a:schemeClr>
                </a:solidFill>
                <a:latin typeface="+mn-lt"/>
                <a:ea typeface="+mn-ea"/>
                <a:cs typeface="+mn-cs"/>
              </a:defRPr>
            </a:pPr>
            <a:r>
              <a:t>Cycle II</a:t>
            </a:r>
          </a:p>
        </c:rich>
      </c:tx>
      <c:layout/>
      <c:overlay val="0"/>
      <c:spPr>
        <a:noFill/>
        <a:ln>
          <a:noFill/>
        </a:ln>
        <a:effectLst/>
      </c:spPr>
    </c:title>
    <c:autoTitleDeleted val="0"/>
    <c:plotArea>
      <c:layout/>
      <c:barChart>
        <c:barDir val="col"/>
        <c:grouping val="clustered"/>
        <c:varyColors val="0"/>
        <c:ser>
          <c:idx val="0"/>
          <c:order val="0"/>
          <c:tx>
            <c:strRef>
              <c:f>Sheet1!#REF!</c:f>
              <c:strCache>
                <c:ptCount val="1"/>
                <c:pt idx="0">
                  <c:v/>
                </c:pt>
              </c:strCache>
            </c:strRef>
          </c:tx>
          <c:spPr>
            <a:solidFill>
              <a:srgbClr val="FFC000"/>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Sheet1!$A$1:$A$2</c:f>
              <c:strCache>
                <c:ptCount val="2"/>
                <c:pt idx="0">
                  <c:v>successful students</c:v>
                </c:pt>
                <c:pt idx="1">
                  <c:v>unsuccessful students</c:v>
                </c:pt>
              </c:strCache>
            </c:strRef>
          </c:cat>
          <c:val>
            <c:numRef>
              <c:f>Sheet1!$B$1:$B$2</c:f>
              <c:numCache>
                <c:formatCode>General</c:formatCode>
                <c:ptCount val="2"/>
                <c:pt idx="0">
                  <c:v>93</c:v>
                </c:pt>
                <c:pt idx="1">
                  <c:v>7</c:v>
                </c:pt>
              </c:numCache>
            </c:numRef>
          </c:val>
        </c:ser>
        <c:dLbls>
          <c:showLegendKey val="0"/>
          <c:showVal val="1"/>
          <c:showCatName val="0"/>
          <c:showSerName val="0"/>
          <c:showPercent val="0"/>
          <c:showBubbleSize val="0"/>
        </c:dLbls>
        <c:gapWidth val="246"/>
        <c:overlap val="-28"/>
        <c:axId val="35319037"/>
        <c:axId val="421233510"/>
      </c:barChart>
      <c:catAx>
        <c:axId val="353190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421233510"/>
        <c:crosses val="autoZero"/>
        <c:auto val="1"/>
        <c:lblAlgn val="ctr"/>
        <c:lblOffset val="100"/>
        <c:noMultiLvlLbl val="0"/>
      </c:catAx>
      <c:valAx>
        <c:axId val="42123351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531903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96fba06-5286-4ee7-b445-a4336baccd5d}"/>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2DE4D1-3100-4B1D-BF42-91A211BD8978}">
  <ds:schemaRefs/>
</ds:datastoreItem>
</file>

<file path=docProps/app.xml><?xml version="1.0" encoding="utf-8"?>
<Properties xmlns="http://schemas.openxmlformats.org/officeDocument/2006/extended-properties" xmlns:vt="http://schemas.openxmlformats.org/officeDocument/2006/docPropsVTypes">
  <Template>New Template Journal Konfiks</Template>
  <Pages>8</Pages>
  <Words>784</Words>
  <Characters>4473</Characters>
  <Lines>37</Lines>
  <Paragraphs>10</Paragraphs>
  <TotalTime>3</TotalTime>
  <ScaleCrop>false</ScaleCrop>
  <LinksUpToDate>false</LinksUpToDate>
  <CharactersWithSpaces>5247</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2021-07-14T15:10:00Z</dcterms:created>
  <dc:creator>Editor</dc:creator>
  <cp:lastModifiedBy>WPS_1747492155</cp:lastModifiedBy>
  <dcterms:modified xsi:type="dcterms:W3CDTF">2025-06-12T12:39:42Z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KSOProductBuildVer">
    <vt:lpwstr>1033-6.14.0.8718</vt:lpwstr>
  </property>
  <property fmtid="{D5CDD505-2E9C-101B-9397-08002B2CF9AE}" pid="4" name="ICV">
    <vt:lpwstr>576A45A25F269754D4124968B021B35D_42</vt:lpwstr>
  </property>
</Properties>
</file>