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27" w:rsidRPr="00294B0B" w:rsidRDefault="00676327" w:rsidP="00ED5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294B0B">
        <w:rPr>
          <w:rFonts w:ascii="Times New Roman" w:hAnsi="Times New Roman" w:cs="Times New Roman"/>
          <w:b/>
          <w:sz w:val="28"/>
          <w:szCs w:val="24"/>
        </w:rPr>
        <w:t>Persepsi</w:t>
      </w:r>
      <w:proofErr w:type="spellEnd"/>
      <w:r w:rsidRPr="00294B0B">
        <w:rPr>
          <w:rFonts w:ascii="Times New Roman" w:hAnsi="Times New Roman" w:cs="Times New Roman"/>
          <w:b/>
          <w:sz w:val="28"/>
          <w:szCs w:val="24"/>
        </w:rPr>
        <w:t xml:space="preserve"> Guru </w:t>
      </w:r>
      <w:proofErr w:type="spellStart"/>
      <w:r w:rsidRPr="00294B0B">
        <w:rPr>
          <w:rFonts w:ascii="Times New Roman" w:hAnsi="Times New Roman" w:cs="Times New Roman"/>
          <w:b/>
          <w:sz w:val="28"/>
          <w:szCs w:val="24"/>
        </w:rPr>
        <w:t>Terhadap</w:t>
      </w:r>
      <w:proofErr w:type="spellEnd"/>
      <w:r w:rsidRPr="00294B0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sz w:val="28"/>
          <w:szCs w:val="24"/>
        </w:rPr>
        <w:t>Aplikasi</w:t>
      </w:r>
      <w:proofErr w:type="spellEnd"/>
      <w:r w:rsidRPr="00294B0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sz w:val="28"/>
          <w:szCs w:val="24"/>
        </w:rPr>
        <w:t>Edmodo</w:t>
      </w:r>
      <w:proofErr w:type="spellEnd"/>
      <w:r w:rsidRPr="00294B0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sz w:val="28"/>
          <w:szCs w:val="24"/>
        </w:rPr>
        <w:t>sebagai</w:t>
      </w:r>
      <w:proofErr w:type="spellEnd"/>
      <w:r w:rsidRPr="00294B0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5697A" w:rsidRPr="00294B0B" w:rsidRDefault="00676327" w:rsidP="00ED5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294B0B">
        <w:rPr>
          <w:rFonts w:ascii="Times New Roman" w:hAnsi="Times New Roman" w:cs="Times New Roman"/>
          <w:b/>
          <w:sz w:val="28"/>
          <w:szCs w:val="24"/>
        </w:rPr>
        <w:t>Alat</w:t>
      </w:r>
      <w:proofErr w:type="spellEnd"/>
      <w:r w:rsidRPr="00294B0B">
        <w:rPr>
          <w:rFonts w:ascii="Times New Roman" w:hAnsi="Times New Roman" w:cs="Times New Roman"/>
          <w:b/>
          <w:sz w:val="28"/>
          <w:szCs w:val="24"/>
        </w:rPr>
        <w:t xml:space="preserve"> Bantu </w:t>
      </w:r>
      <w:proofErr w:type="spellStart"/>
      <w:r w:rsidRPr="00294B0B">
        <w:rPr>
          <w:rFonts w:ascii="Times New Roman" w:hAnsi="Times New Roman" w:cs="Times New Roman"/>
          <w:b/>
          <w:sz w:val="28"/>
          <w:szCs w:val="24"/>
        </w:rPr>
        <w:t>Kegiatan</w:t>
      </w:r>
      <w:proofErr w:type="spellEnd"/>
      <w:r w:rsidRPr="00294B0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sz w:val="28"/>
          <w:szCs w:val="24"/>
        </w:rPr>
        <w:t>Belajar</w:t>
      </w:r>
      <w:proofErr w:type="spellEnd"/>
      <w:r w:rsidRPr="00294B0B">
        <w:rPr>
          <w:rFonts w:ascii="Times New Roman" w:hAnsi="Times New Roman" w:cs="Times New Roman"/>
          <w:b/>
          <w:sz w:val="28"/>
          <w:szCs w:val="24"/>
        </w:rPr>
        <w:t xml:space="preserve"> di </w:t>
      </w:r>
      <w:proofErr w:type="spellStart"/>
      <w:r w:rsidRPr="00294B0B">
        <w:rPr>
          <w:rFonts w:ascii="Times New Roman" w:hAnsi="Times New Roman" w:cs="Times New Roman"/>
          <w:b/>
          <w:sz w:val="28"/>
          <w:szCs w:val="24"/>
        </w:rPr>
        <w:t>Sekolah</w:t>
      </w:r>
      <w:proofErr w:type="spellEnd"/>
      <w:r w:rsidRPr="00294B0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sz w:val="28"/>
          <w:szCs w:val="24"/>
        </w:rPr>
        <w:t>Dasar</w:t>
      </w:r>
      <w:proofErr w:type="spellEnd"/>
    </w:p>
    <w:p w:rsidR="00676327" w:rsidRPr="00294B0B" w:rsidRDefault="00676327" w:rsidP="00ED526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5263" w:rsidRPr="00294B0B" w:rsidRDefault="00676327" w:rsidP="00ED526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4B0B">
        <w:rPr>
          <w:rFonts w:ascii="Times New Roman" w:hAnsi="Times New Roman" w:cs="Times New Roman"/>
          <w:b/>
          <w:sz w:val="24"/>
          <w:szCs w:val="24"/>
        </w:rPr>
        <w:t>Alat-alat</w:t>
      </w:r>
      <w:proofErr w:type="spellEnd"/>
      <w:r w:rsidR="00294B0B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="00294B0B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="00294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4B0B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="00294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4B0B">
        <w:rPr>
          <w:rFonts w:ascii="Times New Roman" w:hAnsi="Times New Roman" w:cs="Times New Roman"/>
          <w:b/>
          <w:sz w:val="24"/>
          <w:szCs w:val="24"/>
        </w:rPr>
        <w:t>P</w:t>
      </w:r>
      <w:r w:rsidRPr="00294B0B">
        <w:rPr>
          <w:rFonts w:ascii="Times New Roman" w:hAnsi="Times New Roman" w:cs="Times New Roman"/>
          <w:b/>
          <w:sz w:val="24"/>
          <w:szCs w:val="24"/>
        </w:rPr>
        <w:t>enelitian</w:t>
      </w:r>
      <w:proofErr w:type="spellEnd"/>
    </w:p>
    <w:p w:rsidR="00ED5263" w:rsidRPr="00294B0B" w:rsidRDefault="00ED5263" w:rsidP="00ED5263">
      <w:pPr>
        <w:spacing w:before="240" w:after="24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Instrumen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kualitatif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adalah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indera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sendiri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namun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menggunakan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instrumen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pembantu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Pengumpulan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menurut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Sutopo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2006: 66)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menyatakan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bahwa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“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metode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pengumpulan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kualitatif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menyeluruh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dibagi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dua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jenis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yaitu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pengumpulan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bersifat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interaktif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non-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interaktif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interaktif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diantaranya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wawancara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observasi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berperan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sedangkan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non-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interaktif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meliputi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mencatat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dokumen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proofErr w:type="gram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partisipasi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tidak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berperan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”.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Instrumen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pembantu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digunakan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oleh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adalah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wawancara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</w:p>
    <w:p w:rsidR="00ED5263" w:rsidRPr="00294B0B" w:rsidRDefault="00ED5263" w:rsidP="00ED5263">
      <w:p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</w:pP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Kuesioner</w:t>
      </w:r>
      <w:proofErr w:type="spellEnd"/>
    </w:p>
    <w:p w:rsidR="00676327" w:rsidRPr="00294B0B" w:rsidRDefault="00ED5263" w:rsidP="00ED5263">
      <w:pPr>
        <w:pStyle w:val="ListParagraph"/>
        <w:spacing w:after="24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menggunakan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pengumpulan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datanya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menurut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Sugiyono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2014: 199)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menyatakan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bahwa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adalah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suatu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pengumpulan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diperoleh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cara</w:t>
      </w:r>
      <w:proofErr w:type="spellEnd"/>
      <w:proofErr w:type="gram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memberikan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seperangkat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pernyataan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atau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pertanyaan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tertulis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kepada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dijawab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”. 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Selain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itu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menurut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Cristensen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Sugiyono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, 2013: 71) “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dapat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memilih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proofErr w:type="gram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mendapatkan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berkaitan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perasaaan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kepercayaan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kepribadian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nilai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persepsi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perilaku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”.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Pengumpulan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menggunakan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merupakan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efsien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dapat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melakukan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kontak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langsung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sehingga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dapat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memunculkan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kondisi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cukup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bagi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Adanya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kondisi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cukup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maka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memberikan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persepsi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/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pandangan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terhadap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dibagikan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maka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akan</w:t>
      </w:r>
      <w:proofErr w:type="spellEnd"/>
      <w:proofErr w:type="gram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mendapatkan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obyektif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cepat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diharapkan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dapat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memberikan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jawaban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memilih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salah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satu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alternatif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jawaban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setiap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pernyataan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/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pertanyaan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tersedia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Menurut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Sutopo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2006: 83)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menyatakan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bahwa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“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pengumpulan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menggunakan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kualitatif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sama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sekali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bukan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merupakan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pokok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utama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),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hanya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penunjang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tahap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awal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pengumpulan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data”.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menggunakan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hanya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awal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bersifat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garis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besar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sebelum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melakukan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kajian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lebih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</w:p>
    <w:p w:rsidR="00ED5263" w:rsidRPr="00294B0B" w:rsidRDefault="00ED5263" w:rsidP="00ED5263">
      <w:pPr>
        <w:pStyle w:val="ListParagraph"/>
        <w:spacing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</w:pP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lastRenderedPageBreak/>
        <w:t>Wawancara</w:t>
      </w:r>
      <w:proofErr w:type="spellEnd"/>
    </w:p>
    <w:p w:rsidR="00ED5263" w:rsidRPr="00294B0B" w:rsidRDefault="00ED5263" w:rsidP="00ED5263">
      <w:pPr>
        <w:pStyle w:val="ListParagraph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Pengumpulan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wawancara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bertujuan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mendapatkan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mengenai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fokus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menambah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pengetahuan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atau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lebih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tentang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persepsi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guru,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maka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langkah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selanjutnya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menggunakan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wawancara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menggali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lebih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Jenis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wawancara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dipilih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yaitu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wawancara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terstruktur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 “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Pengumpulan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wawancara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terstruktur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memperoleh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bentuk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serangkaian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pertanyaan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/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pernyataan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disusun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dirancang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pedoman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wawancara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daftar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pertanyaan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/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pernyataan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” (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Sugiyono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2015: 233). Hal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tersebut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bertujuan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mendapatkan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lebih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luas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diwawancara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dimintai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persepsi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terhadap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aplikasi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edmodo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Teknik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wawancara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dilakukan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kepada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yaitu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guru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perlu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mendengarkan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secara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lebih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teliti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mencatat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proofErr w:type="gram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apa</w:t>
      </w:r>
      <w:proofErr w:type="spellEnd"/>
      <w:proofErr w:type="gram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dikemukakn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oleh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guru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tersebut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.</w:t>
      </w:r>
    </w:p>
    <w:p w:rsidR="00676327" w:rsidRPr="00294B0B" w:rsidRDefault="00676327" w:rsidP="00ED5263">
      <w:pPr>
        <w:pStyle w:val="ListParagraph"/>
        <w:numPr>
          <w:ilvl w:val="0"/>
          <w:numId w:val="1"/>
        </w:numPr>
        <w:spacing w:line="360" w:lineRule="auto"/>
        <w:ind w:left="360" w:hanging="450"/>
        <w:rPr>
          <w:rFonts w:ascii="Times New Roman" w:hAnsi="Times New Roman" w:cs="Times New Roman"/>
          <w:b/>
          <w:sz w:val="24"/>
          <w:szCs w:val="24"/>
        </w:rPr>
      </w:pPr>
      <w:r w:rsidRPr="00294B0B">
        <w:rPr>
          <w:rFonts w:ascii="Times New Roman" w:hAnsi="Times New Roman" w:cs="Times New Roman"/>
          <w:b/>
          <w:sz w:val="24"/>
          <w:szCs w:val="24"/>
        </w:rPr>
        <w:t>Set data</w:t>
      </w:r>
    </w:p>
    <w:p w:rsidR="00ED5263" w:rsidRPr="00294B0B" w:rsidRDefault="00ED5263" w:rsidP="00ED52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Data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dikumpulkan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merupakan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kualitatif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mengenai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persepsi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guru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terhadap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aplikasi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edmodo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alat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gram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bantu</w:t>
      </w:r>
      <w:proofErr w:type="gram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kegiatan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belajar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di SD Islam Al-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Falah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Jambi.</w:t>
      </w:r>
    </w:p>
    <w:p w:rsidR="00ED5263" w:rsidRPr="00294B0B" w:rsidRDefault="00ED5263" w:rsidP="00ED52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Sumber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data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atau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yaitu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guru SD Islam Al-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Falah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Jambi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berjumlah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sembilan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(9) orang.</w:t>
      </w:r>
    </w:p>
    <w:p w:rsidR="00ED5263" w:rsidRPr="00294B0B" w:rsidRDefault="00ED5263" w:rsidP="00294B0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4"/>
          <w:lang w:val="en-ID"/>
        </w:rPr>
      </w:pP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0"/>
          <w:szCs w:val="24"/>
          <w:lang w:val="en-ID"/>
        </w:rPr>
        <w:t>Tabel</w:t>
      </w:r>
      <w:proofErr w:type="spellEnd"/>
      <w:r w:rsidRPr="00294B0B">
        <w:rPr>
          <w:rFonts w:ascii="Times New Roman" w:hAnsi="Times New Roman" w:cs="Times New Roman"/>
          <w:b/>
          <w:color w:val="000000" w:themeColor="text1"/>
          <w:sz w:val="20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0"/>
          <w:szCs w:val="24"/>
          <w:lang w:val="en-ID"/>
        </w:rPr>
        <w:t>Nama-nama</w:t>
      </w:r>
      <w:proofErr w:type="spellEnd"/>
      <w:r w:rsidRPr="00294B0B">
        <w:rPr>
          <w:rFonts w:ascii="Times New Roman" w:hAnsi="Times New Roman" w:cs="Times New Roman"/>
          <w:b/>
          <w:color w:val="000000" w:themeColor="text1"/>
          <w:sz w:val="20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0"/>
          <w:szCs w:val="24"/>
          <w:lang w:val="en-ID"/>
        </w:rPr>
        <w:t>Informan</w:t>
      </w:r>
      <w:proofErr w:type="spellEnd"/>
      <w:r w:rsidRPr="00294B0B">
        <w:rPr>
          <w:rFonts w:ascii="Times New Roman" w:hAnsi="Times New Roman" w:cs="Times New Roman"/>
          <w:b/>
          <w:color w:val="000000" w:themeColor="text1"/>
          <w:sz w:val="20"/>
          <w:szCs w:val="24"/>
          <w:lang w:val="en-ID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0"/>
          <w:szCs w:val="24"/>
          <w:lang w:val="en-ID"/>
        </w:rPr>
        <w:t>Penelitian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9"/>
        <w:gridCol w:w="2250"/>
        <w:gridCol w:w="2070"/>
      </w:tblGrid>
      <w:tr w:rsidR="00ED5263" w:rsidRPr="00294B0B" w:rsidTr="00294B0B">
        <w:trPr>
          <w:jc w:val="center"/>
        </w:trPr>
        <w:tc>
          <w:tcPr>
            <w:tcW w:w="649" w:type="dxa"/>
            <w:vAlign w:val="center"/>
          </w:tcPr>
          <w:p w:rsidR="00ED5263" w:rsidRPr="00294B0B" w:rsidRDefault="00ED5263" w:rsidP="00294B0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en-ID"/>
              </w:rPr>
              <w:t>No.</w:t>
            </w:r>
          </w:p>
        </w:tc>
        <w:tc>
          <w:tcPr>
            <w:tcW w:w="2250" w:type="dxa"/>
            <w:vAlign w:val="center"/>
          </w:tcPr>
          <w:p w:rsidR="00ED5263" w:rsidRPr="00294B0B" w:rsidRDefault="00ED5263" w:rsidP="00294B0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en-ID"/>
              </w:rPr>
              <w:t>Nama</w:t>
            </w:r>
            <w:proofErr w:type="spellEnd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en-ID"/>
              </w:rPr>
              <w:t>Informan</w:t>
            </w:r>
            <w:proofErr w:type="spellEnd"/>
          </w:p>
        </w:tc>
        <w:tc>
          <w:tcPr>
            <w:tcW w:w="2070" w:type="dxa"/>
            <w:vAlign w:val="center"/>
          </w:tcPr>
          <w:p w:rsidR="00ED5263" w:rsidRPr="00294B0B" w:rsidRDefault="00ED5263" w:rsidP="00294B0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en-ID"/>
              </w:rPr>
              <w:t>Jabatan</w:t>
            </w:r>
            <w:proofErr w:type="spellEnd"/>
          </w:p>
        </w:tc>
      </w:tr>
      <w:tr w:rsidR="00ED5263" w:rsidRPr="00294B0B" w:rsidTr="00294B0B">
        <w:trPr>
          <w:jc w:val="center"/>
        </w:trPr>
        <w:tc>
          <w:tcPr>
            <w:tcW w:w="649" w:type="dxa"/>
            <w:vAlign w:val="center"/>
          </w:tcPr>
          <w:p w:rsidR="00ED5263" w:rsidRPr="00294B0B" w:rsidRDefault="00ED5263" w:rsidP="00294B0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1.</w:t>
            </w:r>
          </w:p>
        </w:tc>
        <w:tc>
          <w:tcPr>
            <w:tcW w:w="2250" w:type="dxa"/>
            <w:vAlign w:val="center"/>
          </w:tcPr>
          <w:p w:rsidR="00ED5263" w:rsidRPr="00294B0B" w:rsidRDefault="00ED5263" w:rsidP="00294B0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DY (IN1)</w:t>
            </w:r>
          </w:p>
        </w:tc>
        <w:tc>
          <w:tcPr>
            <w:tcW w:w="2070" w:type="dxa"/>
            <w:vAlign w:val="center"/>
          </w:tcPr>
          <w:p w:rsidR="00ED5263" w:rsidRPr="00294B0B" w:rsidRDefault="00ED5263" w:rsidP="00294B0B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Wali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Kelas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IVD</w:t>
            </w:r>
          </w:p>
        </w:tc>
      </w:tr>
      <w:tr w:rsidR="00ED5263" w:rsidRPr="00294B0B" w:rsidTr="00294B0B">
        <w:trPr>
          <w:trHeight w:val="217"/>
          <w:jc w:val="center"/>
        </w:trPr>
        <w:tc>
          <w:tcPr>
            <w:tcW w:w="649" w:type="dxa"/>
            <w:vAlign w:val="center"/>
          </w:tcPr>
          <w:p w:rsidR="00ED5263" w:rsidRPr="00294B0B" w:rsidRDefault="00ED5263" w:rsidP="0029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2.</w:t>
            </w:r>
          </w:p>
        </w:tc>
        <w:tc>
          <w:tcPr>
            <w:tcW w:w="225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LNYP (IN2)</w:t>
            </w:r>
          </w:p>
        </w:tc>
        <w:tc>
          <w:tcPr>
            <w:tcW w:w="207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Wali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Kelas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IVC</w:t>
            </w:r>
          </w:p>
        </w:tc>
      </w:tr>
      <w:tr w:rsidR="00ED5263" w:rsidRPr="00294B0B" w:rsidTr="00294B0B">
        <w:trPr>
          <w:jc w:val="center"/>
        </w:trPr>
        <w:tc>
          <w:tcPr>
            <w:tcW w:w="649" w:type="dxa"/>
            <w:vAlign w:val="center"/>
          </w:tcPr>
          <w:p w:rsidR="00ED5263" w:rsidRPr="00294B0B" w:rsidRDefault="00ED5263" w:rsidP="0029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3.</w:t>
            </w:r>
          </w:p>
        </w:tc>
        <w:tc>
          <w:tcPr>
            <w:tcW w:w="225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EA (IN3)</w:t>
            </w:r>
          </w:p>
        </w:tc>
        <w:tc>
          <w:tcPr>
            <w:tcW w:w="207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Wali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Kelas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IIIC</w:t>
            </w:r>
          </w:p>
        </w:tc>
      </w:tr>
      <w:tr w:rsidR="00ED5263" w:rsidRPr="00294B0B" w:rsidTr="00294B0B">
        <w:trPr>
          <w:jc w:val="center"/>
        </w:trPr>
        <w:tc>
          <w:tcPr>
            <w:tcW w:w="649" w:type="dxa"/>
            <w:vAlign w:val="center"/>
          </w:tcPr>
          <w:p w:rsidR="00ED5263" w:rsidRPr="00294B0B" w:rsidRDefault="00ED5263" w:rsidP="0029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4.</w:t>
            </w:r>
          </w:p>
        </w:tc>
        <w:tc>
          <w:tcPr>
            <w:tcW w:w="225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IR (IN4)</w:t>
            </w:r>
          </w:p>
        </w:tc>
        <w:tc>
          <w:tcPr>
            <w:tcW w:w="207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Wali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Kelas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VD</w:t>
            </w:r>
          </w:p>
        </w:tc>
      </w:tr>
      <w:tr w:rsidR="00ED5263" w:rsidRPr="00294B0B" w:rsidTr="00294B0B">
        <w:trPr>
          <w:jc w:val="center"/>
        </w:trPr>
        <w:tc>
          <w:tcPr>
            <w:tcW w:w="649" w:type="dxa"/>
            <w:vAlign w:val="center"/>
          </w:tcPr>
          <w:p w:rsidR="00ED5263" w:rsidRPr="00294B0B" w:rsidRDefault="00ED5263" w:rsidP="0029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5.</w:t>
            </w:r>
          </w:p>
        </w:tc>
        <w:tc>
          <w:tcPr>
            <w:tcW w:w="225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MLS (IN5</w:t>
            </w:r>
          </w:p>
        </w:tc>
        <w:tc>
          <w:tcPr>
            <w:tcW w:w="207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Wali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Kelas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IIID</w:t>
            </w:r>
          </w:p>
        </w:tc>
      </w:tr>
      <w:tr w:rsidR="00ED5263" w:rsidRPr="00294B0B" w:rsidTr="00294B0B">
        <w:trPr>
          <w:jc w:val="center"/>
        </w:trPr>
        <w:tc>
          <w:tcPr>
            <w:tcW w:w="649" w:type="dxa"/>
            <w:vAlign w:val="center"/>
          </w:tcPr>
          <w:p w:rsidR="00ED5263" w:rsidRPr="00294B0B" w:rsidRDefault="00ED5263" w:rsidP="0029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6.</w:t>
            </w:r>
          </w:p>
        </w:tc>
        <w:tc>
          <w:tcPr>
            <w:tcW w:w="225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RA (IN6)</w:t>
            </w:r>
          </w:p>
        </w:tc>
        <w:tc>
          <w:tcPr>
            <w:tcW w:w="207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Wali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Kelas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IVB</w:t>
            </w:r>
          </w:p>
        </w:tc>
      </w:tr>
      <w:tr w:rsidR="00ED5263" w:rsidRPr="00294B0B" w:rsidTr="00294B0B">
        <w:trPr>
          <w:jc w:val="center"/>
        </w:trPr>
        <w:tc>
          <w:tcPr>
            <w:tcW w:w="649" w:type="dxa"/>
            <w:vAlign w:val="center"/>
          </w:tcPr>
          <w:p w:rsidR="00ED5263" w:rsidRPr="00294B0B" w:rsidRDefault="00ED5263" w:rsidP="0029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7.</w:t>
            </w:r>
          </w:p>
        </w:tc>
        <w:tc>
          <w:tcPr>
            <w:tcW w:w="225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AG (IN7)</w:t>
            </w:r>
          </w:p>
        </w:tc>
        <w:tc>
          <w:tcPr>
            <w:tcW w:w="207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Wali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Kelas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VA</w:t>
            </w:r>
          </w:p>
        </w:tc>
      </w:tr>
      <w:tr w:rsidR="00ED5263" w:rsidRPr="00294B0B" w:rsidTr="00294B0B">
        <w:trPr>
          <w:jc w:val="center"/>
        </w:trPr>
        <w:tc>
          <w:tcPr>
            <w:tcW w:w="649" w:type="dxa"/>
            <w:vAlign w:val="center"/>
          </w:tcPr>
          <w:p w:rsidR="00ED5263" w:rsidRPr="00294B0B" w:rsidRDefault="00ED5263" w:rsidP="0029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8.</w:t>
            </w:r>
          </w:p>
        </w:tc>
        <w:tc>
          <w:tcPr>
            <w:tcW w:w="225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RD (IN8)</w:t>
            </w:r>
          </w:p>
        </w:tc>
        <w:tc>
          <w:tcPr>
            <w:tcW w:w="207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Wali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Kelas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VIC</w:t>
            </w:r>
          </w:p>
        </w:tc>
      </w:tr>
      <w:tr w:rsidR="00ED5263" w:rsidRPr="00294B0B" w:rsidTr="00294B0B">
        <w:trPr>
          <w:jc w:val="center"/>
        </w:trPr>
        <w:tc>
          <w:tcPr>
            <w:tcW w:w="649" w:type="dxa"/>
            <w:vAlign w:val="center"/>
          </w:tcPr>
          <w:p w:rsidR="00ED5263" w:rsidRPr="00294B0B" w:rsidRDefault="00ED5263" w:rsidP="00294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9.</w:t>
            </w:r>
          </w:p>
        </w:tc>
        <w:tc>
          <w:tcPr>
            <w:tcW w:w="225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WO (IN9)</w:t>
            </w:r>
          </w:p>
        </w:tc>
        <w:tc>
          <w:tcPr>
            <w:tcW w:w="2070" w:type="dxa"/>
            <w:vAlign w:val="center"/>
          </w:tcPr>
          <w:p w:rsidR="00ED5263" w:rsidRPr="00294B0B" w:rsidRDefault="00ED5263" w:rsidP="00294B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</w:pP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Wali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>Kelas</w:t>
            </w:r>
            <w:proofErr w:type="spellEnd"/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ID"/>
              </w:rPr>
              <w:t xml:space="preserve"> VIA</w:t>
            </w:r>
          </w:p>
        </w:tc>
      </w:tr>
    </w:tbl>
    <w:p w:rsidR="00ED5263" w:rsidRDefault="00ED5263" w:rsidP="00ED5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4B0B" w:rsidRDefault="00294B0B" w:rsidP="00ED5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4B0B" w:rsidRDefault="00294B0B" w:rsidP="00ED5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4B0B" w:rsidRPr="00294B0B" w:rsidRDefault="00294B0B" w:rsidP="00ED5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327" w:rsidRPr="00294B0B" w:rsidRDefault="00676327" w:rsidP="00ED52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4B0B">
        <w:rPr>
          <w:rFonts w:ascii="Times New Roman" w:hAnsi="Times New Roman" w:cs="Times New Roman"/>
          <w:b/>
          <w:sz w:val="24"/>
          <w:szCs w:val="24"/>
        </w:rPr>
        <w:lastRenderedPageBreak/>
        <w:t>Sumber-sumber</w:t>
      </w:r>
      <w:proofErr w:type="spellEnd"/>
    </w:p>
    <w:p w:rsidR="00676327" w:rsidRPr="00294B0B" w:rsidRDefault="00676327" w:rsidP="00ED526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327" w:rsidRPr="00294B0B" w:rsidRDefault="00676327" w:rsidP="00ED526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94B0B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</w:t>
      </w:r>
      <w:r w:rsidRPr="00294B0B">
        <w:rPr>
          <w:rFonts w:ascii="Times New Roman" w:hAnsi="Times New Roman" w:cs="Times New Roman"/>
          <w:b/>
          <w:sz w:val="24"/>
          <w:szCs w:val="24"/>
          <w:lang w:val="en-ID"/>
        </w:rPr>
        <w:t>RUJUKAN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Ainiyah, Z. (2015). Penggunaan Edmodo Sebagai Media Pembelajaran E-learning pada Mata Pelajaran Otomatiasi Perkantoran di SMKN 1 Surabaya.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UNESA</w:t>
      </w:r>
      <w:r w:rsidRPr="00294B0B">
        <w:rPr>
          <w:rFonts w:ascii="Times New Roman" w:hAnsi="Times New Roman" w:cs="Times New Roman"/>
          <w:noProof/>
          <w:sz w:val="24"/>
          <w:szCs w:val="24"/>
        </w:rPr>
        <w:t>, 1–13. https://doi.org/10.1145/3132847.3132886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Basinun. (2016). Membangun E-Learning PAI Berbasis Jejaring Sosial Edmodo.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At-Ta’lim; Media Informasi Pendidikan Islam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15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(2), 302–319. Retrieved from http://ejournal.iainbengkulu.ac.id/index.php/attalim/article/viewFile/527/477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Basori. (2013). Pemanfaatan Social Learning Network “Edmodo” dalam Membantu Perkuliahan Teori Bodi Otomotif di Prodi PTM JPTK FKIP UNS.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JIPTEK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VI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(2), 99–105.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fldChar w:fldCharType="begin" w:fldLock="1"/>
      </w:r>
      <w:r w:rsidRPr="00294B0B">
        <w:rPr>
          <w:rFonts w:ascii="Times New Roman" w:hAnsi="Times New Roman" w:cs="Times New Roman"/>
          <w:noProof/>
          <w:sz w:val="24"/>
          <w:szCs w:val="24"/>
        </w:rPr>
        <w:instrText xml:space="preserve">ADDIN Mendeley Bibliography CSL_BIBLIOGRAPHY </w:instrText>
      </w:r>
      <w:r w:rsidRPr="00294B0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Harun, H., Sulfa, S., &amp; Nerlin, N. (2017). Disiplin Kerja Guru Bidang Studi PKn di SMP Negeri 5 Kendari.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SELAMI IPS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53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(45), 106–114. https://doi.org/10.1017/CBO9781107415324.004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Ekayati, R. (2018). Implementasi Metode Blended Learning Berbasis Aplikasi Edmodo.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EduTech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(2), 50–56.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Erin, E., &amp; Maharani, A. (2018). Persepsi Mahasiswa Pendidikan Matematika terhadap Perkuliahan Online.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Mosharafa: Jurnal Pendidikan Matematika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(3), 337–344. </w:t>
      </w:r>
      <w:hyperlink r:id="rId5" w:history="1">
        <w:r w:rsidRPr="00294B0B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https://doi.org/10.31980/mosharafa.v7i3.39</w:t>
        </w:r>
      </w:hyperlink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Hamalik, Oemar. 2014.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 xml:space="preserve">Kurikulum dan Pembelajaran. </w:t>
      </w:r>
      <w:r w:rsidRPr="00294B0B">
        <w:rPr>
          <w:rFonts w:ascii="Times New Roman" w:hAnsi="Times New Roman" w:cs="Times New Roman"/>
          <w:noProof/>
          <w:sz w:val="24"/>
          <w:szCs w:val="24"/>
        </w:rPr>
        <w:t>Jakarta: Bumi Aksara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Hariandi, A., &amp; Irawan, Y. (2017). Peran Guru dalam Penanaman Nilai Karakter Religius di Lingkungan Sekolah pada Siswa Sekolah Dasar.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Gentala Pendidikan Dasar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(1), 177–189.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fldChar w:fldCharType="begin" w:fldLock="1"/>
      </w:r>
      <w:r w:rsidRPr="00294B0B">
        <w:rPr>
          <w:rFonts w:ascii="Times New Roman" w:hAnsi="Times New Roman" w:cs="Times New Roman"/>
          <w:noProof/>
          <w:sz w:val="24"/>
          <w:szCs w:val="24"/>
        </w:rPr>
        <w:instrText xml:space="preserve">ADDIN Mendeley Bibliography CSL_BIBLIOGRAPHY </w:instrText>
      </w:r>
      <w:r w:rsidRPr="00294B0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Harun, H., Sulfa, S., &amp; Nerlin, N. (2017). Disiplin Kerja Guru Bidang Studi PKn di SMP Negeri 5 Kendari.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SELAMI IPS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53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(45), 106–114. https://doi.org/10.1017/CBO9781107415324.004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Ichnatun, L., Qaddafi, M., &amp; Ferawati, A. (2019). Penerapan Model Pembelajaran </w:t>
      </w:r>
      <w:r w:rsidRPr="00294B0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Blended Learning Manajemen System Edmodo Terhadap Hasil Belajar.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Pendidikan Fisika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(2), 175–183.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Kanca, I. N. (2018). Menjadi Guru Pendidikan Jasmani Olahraga dan Kesehatan di Abad 21.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Prosiding Seminar Nasional IPTEK Olahraga</w:t>
      </w:r>
      <w:r w:rsidRPr="00294B0B">
        <w:rPr>
          <w:rFonts w:ascii="Times New Roman" w:hAnsi="Times New Roman" w:cs="Times New Roman"/>
          <w:noProof/>
          <w:sz w:val="24"/>
          <w:szCs w:val="24"/>
        </w:rPr>
        <w:t>, 21–27.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Kristiani, D. (2016). E-learning dengan Aplikasi Edmodo di Sekolah Menengah Kejuruan.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Prosiding Seminar Nasional Multi Disiplin Ilmu &amp; Call for Papers Unisbank</w:t>
      </w:r>
      <w:r w:rsidRPr="00294B0B">
        <w:rPr>
          <w:rFonts w:ascii="Times New Roman" w:hAnsi="Times New Roman" w:cs="Times New Roman"/>
          <w:noProof/>
          <w:sz w:val="24"/>
          <w:szCs w:val="24"/>
        </w:rPr>
        <w:t>, 36–45.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Kuntarto, E., &amp; Susanti, P. (2016). Persepsi Guru Terhadap Aspek Penilaian Sikap dan Aspek Penilaian Keterampilan dalam Kurikulum 2013 Di Sekolah Dasar.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Gentala Pendidikan Dasar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(I), 21–40.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Lanusi, D. H. (2018). Penerapan Kelas Digital Edmodo Untuk Meningkatkan Minat Belajar dan Hasul Belajar Siswa.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Dikdaktika Pendidikan Dasar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(1), 58–72.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Moloeng, L. J. 2017.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 xml:space="preserve">Metode Penelitian Kualitatif. </w:t>
      </w:r>
      <w:r w:rsidRPr="00294B0B">
        <w:rPr>
          <w:rFonts w:ascii="Times New Roman" w:hAnsi="Times New Roman" w:cs="Times New Roman"/>
          <w:noProof/>
          <w:sz w:val="24"/>
          <w:szCs w:val="24"/>
        </w:rPr>
        <w:t>Bandung: Remaja Rosdakarya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Pertiwi, A., Juariah, &amp; Kariadinata, R. (2017). Blended Learning Berbasis Edmodo pada Kemampuan Pembuktian Matematis Siswa.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SANTIKA (Ilmiah Sains Dan Teknologi)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(1).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Permendikbud. 2014.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>Permendikbud No. 110 Tahun 2014 Tentang Penyelenggaraan Pendidikan Jarak Jauh Jenjang Pendidikan Dasar dan Menengah.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 Jakarta: Kementrian Pendidikan dan Kebudayaan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Priowirjanto, G. 2013.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>Buku Sumber Simulasi Digital (Versi Sept; A. Rismayanti, ed).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 Cikarang Barat: Seamolec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Purbasari, I., Ismaya, E. A., Suryani, N., &amp; Djono. (2019). Media Pembelajaran Ilmu Pengetahuan Sosial Berbasis Aplikasi Mobile Learning bagi Siswa Sekolah Dasar.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Sejarah, Budaya Dan Pengajaran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(2015), 97–106. </w:t>
      </w:r>
      <w:hyperlink r:id="rId6" w:history="1">
        <w:r w:rsidRPr="00294B0B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https://doi.org/10.17977/um020v13i12019p97</w:t>
        </w:r>
      </w:hyperlink>
      <w:r w:rsidRPr="00294B0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Satori, D., dan Komariah, A. 2017.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 xml:space="preserve">Metode Penelitian Kualitatif. </w:t>
      </w:r>
      <w:r w:rsidRPr="00294B0B">
        <w:rPr>
          <w:rFonts w:ascii="Times New Roman" w:hAnsi="Times New Roman" w:cs="Times New Roman"/>
          <w:noProof/>
          <w:sz w:val="24"/>
          <w:szCs w:val="24"/>
        </w:rPr>
        <w:t>Bandung: Alfabeta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Slameto. 2015.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>Belajar dan Faktor-Faktor yang Mempengaruhi.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 Jakarta: Rineka Cipta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Sukono. (2018). Memanfaatkan Kemajuan Teknologi untuk Meningkatkan Kompetensi </w:t>
      </w:r>
      <w:r w:rsidRPr="00294B0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Guru.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Prosiding Profesionalisme Guru Abad XXI</w:t>
      </w:r>
      <w:r w:rsidRPr="00294B0B">
        <w:rPr>
          <w:rFonts w:ascii="Times New Roman" w:hAnsi="Times New Roman" w:cs="Times New Roman"/>
          <w:noProof/>
          <w:sz w:val="24"/>
          <w:szCs w:val="24"/>
        </w:rPr>
        <w:t>, 59–64.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Sugiyono. 2013.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 xml:space="preserve">Metode Penelitian Pendidikan Pendekatan Kuantitatif, Kualitatif, dan R&amp;D. </w:t>
      </w:r>
      <w:r w:rsidRPr="00294B0B">
        <w:rPr>
          <w:rFonts w:ascii="Times New Roman" w:hAnsi="Times New Roman" w:cs="Times New Roman"/>
          <w:noProof/>
          <w:sz w:val="24"/>
          <w:szCs w:val="24"/>
        </w:rPr>
        <w:t>Bandung: Alfabeta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Sugiyono. 2014.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 xml:space="preserve">Metode Penelitian Pendidikan Pendekatan Kuantitatif, Kualitatif, dan R&amp;D. </w:t>
      </w:r>
      <w:r w:rsidRPr="00294B0B">
        <w:rPr>
          <w:rFonts w:ascii="Times New Roman" w:hAnsi="Times New Roman" w:cs="Times New Roman"/>
          <w:noProof/>
          <w:sz w:val="24"/>
          <w:szCs w:val="24"/>
        </w:rPr>
        <w:t>Bandung: Alfabeta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Sugiyono. 2015.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 xml:space="preserve">Metode Penelitian Pendidikan Pendekatan Kuantitatif, Kualitatif, dan R&amp;D. </w:t>
      </w:r>
      <w:r w:rsidRPr="00294B0B">
        <w:rPr>
          <w:rFonts w:ascii="Times New Roman" w:hAnsi="Times New Roman" w:cs="Times New Roman"/>
          <w:noProof/>
          <w:sz w:val="24"/>
          <w:szCs w:val="24"/>
        </w:rPr>
        <w:t>Bandung: Alfabeta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Sugiyono. 2018.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 xml:space="preserve">Metode Penelitian Pendidikan Pendekatan Kuantitatif, Kualitatif, dan R&amp;D. </w:t>
      </w:r>
      <w:r w:rsidRPr="00294B0B">
        <w:rPr>
          <w:rFonts w:ascii="Times New Roman" w:hAnsi="Times New Roman" w:cs="Times New Roman"/>
          <w:noProof/>
          <w:sz w:val="24"/>
          <w:szCs w:val="24"/>
        </w:rPr>
        <w:t>Bandung: Alfabeta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Surahman. (2019). Efektivitas Penggunaan Edmodo dalam Pembelajaran Matematika.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Pendidikan Matematika Universitas Muhammadiyah Malang</w:t>
      </w:r>
      <w:r w:rsidRPr="00294B0B">
        <w:rPr>
          <w:rFonts w:ascii="Times New Roman" w:hAnsi="Times New Roman" w:cs="Times New Roman"/>
          <w:noProof/>
          <w:sz w:val="24"/>
          <w:szCs w:val="24"/>
        </w:rPr>
        <w:t>, (June), 1–9.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Sutopo, H. B. 2006.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>Metodologi Penelitian Kualitatif Dasar Teori dan Terapannya dalam Penelitian.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 Surakarta: Universitas Sebelas Maret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Walgito, Bimo. 2010. 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>Pengantar Psikologi Umum.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 Yogyakarta: C.V Andi Offset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Wibowo, I. S., &amp; Maqfirotun, S. (2016). Peran Guru dalam Membentuk Tanggung Jawab Siswa Kelas V Sekolah Dasar.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Gentala Pendidikan Dasar</w:t>
      </w: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294B0B">
        <w:rPr>
          <w:rFonts w:ascii="Times New Roman" w:hAnsi="Times New Roman" w:cs="Times New Roman"/>
          <w:noProof/>
          <w:sz w:val="24"/>
          <w:szCs w:val="24"/>
        </w:rPr>
        <w:t>(I), 61–72.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 xml:space="preserve">Yuliani, O., &amp; Prasojo, J. (2016). Evaluasi Usability Situs Web Sistem Informasi Akademik ( Studi Kasus Pada STTNAS Yogyakarta ). </w:t>
      </w:r>
      <w:r w:rsidRPr="00294B0B">
        <w:rPr>
          <w:rFonts w:ascii="Times New Roman" w:hAnsi="Times New Roman" w:cs="Times New Roman"/>
          <w:i/>
          <w:iCs/>
          <w:noProof/>
          <w:sz w:val="24"/>
          <w:szCs w:val="24"/>
        </w:rPr>
        <w:t>Prosiding Seminar Nasional XI “Rekayasa Teknologi Industri Dan Informasi 2016 Sekolah Tinggi Teknologi Nasional Yogyakarta</w:t>
      </w:r>
      <w:r w:rsidRPr="00294B0B">
        <w:rPr>
          <w:rFonts w:ascii="Times New Roman" w:hAnsi="Times New Roman" w:cs="Times New Roman"/>
          <w:noProof/>
          <w:sz w:val="24"/>
          <w:szCs w:val="24"/>
        </w:rPr>
        <w:t>, 78–87.</w:t>
      </w:r>
    </w:p>
    <w:p w:rsidR="00676327" w:rsidRPr="00294B0B" w:rsidRDefault="00676327" w:rsidP="00ED5263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4B0B">
        <w:rPr>
          <w:rFonts w:ascii="Times New Roman" w:hAnsi="Times New Roman" w:cs="Times New Roman"/>
          <w:noProof/>
          <w:sz w:val="24"/>
          <w:szCs w:val="24"/>
        </w:rPr>
        <w:t>Yusuf, Muri. 2014.</w:t>
      </w:r>
      <w:r w:rsidRPr="00294B0B">
        <w:rPr>
          <w:rFonts w:ascii="Times New Roman" w:hAnsi="Times New Roman" w:cs="Times New Roman"/>
          <w:i/>
          <w:noProof/>
          <w:sz w:val="24"/>
          <w:szCs w:val="24"/>
        </w:rPr>
        <w:t xml:space="preserve"> Metode Penelitian Kuantitatif, Kualitatif &amp; Penelitian Gabungan. </w:t>
      </w:r>
      <w:r w:rsidRPr="00294B0B">
        <w:rPr>
          <w:rFonts w:ascii="Times New Roman" w:hAnsi="Times New Roman" w:cs="Times New Roman"/>
          <w:noProof/>
          <w:sz w:val="24"/>
          <w:szCs w:val="24"/>
        </w:rPr>
        <w:t>Jakarta: Prenadamedia Group</w:t>
      </w:r>
    </w:p>
    <w:p w:rsidR="00676327" w:rsidRPr="00294B0B" w:rsidRDefault="00676327" w:rsidP="00ED52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4B0B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294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294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5263" w:rsidRPr="00294B0B">
        <w:rPr>
          <w:rFonts w:ascii="Times New Roman" w:hAnsi="Times New Roman" w:cs="Times New Roman"/>
          <w:b/>
          <w:sz w:val="24"/>
          <w:szCs w:val="24"/>
        </w:rPr>
        <w:t>tab</w:t>
      </w:r>
      <w:r w:rsidRPr="00294B0B">
        <w:rPr>
          <w:rFonts w:ascii="Times New Roman" w:hAnsi="Times New Roman" w:cs="Times New Roman"/>
          <w:b/>
          <w:sz w:val="24"/>
          <w:szCs w:val="24"/>
        </w:rPr>
        <w:t>e</w:t>
      </w:r>
      <w:r w:rsidR="00ED5263" w:rsidRPr="00294B0B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Pr="00294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294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sz w:val="24"/>
          <w:szCs w:val="24"/>
        </w:rPr>
        <w:t>bahan-bahan</w:t>
      </w:r>
      <w:proofErr w:type="spellEnd"/>
      <w:r w:rsidRPr="00294B0B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b/>
          <w:sz w:val="24"/>
          <w:szCs w:val="24"/>
        </w:rPr>
        <w:t>berkontribusi</w:t>
      </w:r>
      <w:proofErr w:type="spellEnd"/>
      <w:r w:rsidRPr="00294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294B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sz w:val="24"/>
          <w:szCs w:val="24"/>
        </w:rPr>
        <w:t>pekerjaan</w:t>
      </w:r>
      <w:proofErr w:type="spellEnd"/>
    </w:p>
    <w:p w:rsidR="00ED5263" w:rsidRPr="00294B0B" w:rsidRDefault="00ED5263" w:rsidP="00ED526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5263" w:rsidRPr="00294B0B" w:rsidRDefault="00ED5263" w:rsidP="00294B0B">
      <w:pPr>
        <w:pStyle w:val="ListParagraph"/>
        <w:spacing w:after="0" w:line="240" w:lineRule="auto"/>
        <w:ind w:left="0" w:firstLine="81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Tabel</w:t>
      </w:r>
      <w:proofErr w:type="spellEnd"/>
      <w:r w:rsidRPr="00294B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Persepsi</w:t>
      </w:r>
      <w:proofErr w:type="spellEnd"/>
      <w:r w:rsidRPr="00294B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Guru </w:t>
      </w: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Terhadap</w:t>
      </w:r>
      <w:proofErr w:type="spellEnd"/>
      <w:r w:rsidRPr="00294B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Aplikasi</w:t>
      </w:r>
      <w:proofErr w:type="spellEnd"/>
      <w:r w:rsidRPr="00294B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294B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Edmodo</w:t>
      </w:r>
      <w:proofErr w:type="spellEnd"/>
    </w:p>
    <w:tbl>
      <w:tblPr>
        <w:tblStyle w:val="TableGrid"/>
        <w:tblW w:w="8640" w:type="dxa"/>
        <w:tblInd w:w="-95" w:type="dxa"/>
        <w:tblLook w:val="04A0" w:firstRow="1" w:lastRow="0" w:firstColumn="1" w:lastColumn="0" w:noHBand="0" w:noVBand="1"/>
      </w:tblPr>
      <w:tblGrid>
        <w:gridCol w:w="1603"/>
        <w:gridCol w:w="1403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ED5263" w:rsidRPr="00294B0B" w:rsidTr="00202BB6">
        <w:tc>
          <w:tcPr>
            <w:tcW w:w="1603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Indikator</w:t>
            </w:r>
            <w:proofErr w:type="spellEnd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Pernyataan</w:t>
            </w:r>
            <w:proofErr w:type="spellEnd"/>
          </w:p>
        </w:tc>
        <w:tc>
          <w:tcPr>
            <w:tcW w:w="1403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Item </w:t>
            </w:r>
            <w:proofErr w:type="spellStart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Pernyataan</w:t>
            </w:r>
            <w:proofErr w:type="spellEnd"/>
          </w:p>
        </w:tc>
        <w:tc>
          <w:tcPr>
            <w:tcW w:w="626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IN1</w:t>
            </w:r>
          </w:p>
        </w:tc>
        <w:tc>
          <w:tcPr>
            <w:tcW w:w="626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IN2</w:t>
            </w:r>
          </w:p>
        </w:tc>
        <w:tc>
          <w:tcPr>
            <w:tcW w:w="626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IN3</w:t>
            </w:r>
          </w:p>
        </w:tc>
        <w:tc>
          <w:tcPr>
            <w:tcW w:w="626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IN4</w:t>
            </w:r>
          </w:p>
        </w:tc>
        <w:tc>
          <w:tcPr>
            <w:tcW w:w="626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IN5</w:t>
            </w:r>
          </w:p>
        </w:tc>
        <w:tc>
          <w:tcPr>
            <w:tcW w:w="626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IN6</w:t>
            </w:r>
          </w:p>
        </w:tc>
        <w:tc>
          <w:tcPr>
            <w:tcW w:w="626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IN7</w:t>
            </w:r>
          </w:p>
        </w:tc>
        <w:tc>
          <w:tcPr>
            <w:tcW w:w="626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IN8</w:t>
            </w:r>
          </w:p>
        </w:tc>
        <w:tc>
          <w:tcPr>
            <w:tcW w:w="626" w:type="dxa"/>
            <w:vAlign w:val="center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IN9</w:t>
            </w:r>
          </w:p>
        </w:tc>
      </w:tr>
      <w:tr w:rsidR="00ED5263" w:rsidRPr="00294B0B" w:rsidTr="00202BB6">
        <w:tc>
          <w:tcPr>
            <w:tcW w:w="1603" w:type="dxa"/>
            <w:vMerge w:val="restart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Easy</w:t>
            </w:r>
            <w:proofErr w:type="spellEnd"/>
            <w:r w:rsidRPr="00294B0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of use</w:t>
            </w: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2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294B0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Cuztomization</w:t>
            </w:r>
            <w:proofErr w:type="spellEnd"/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5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 w:val="restart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94B0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Content</w:t>
            </w: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6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7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8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9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10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11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12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15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16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 w:val="restart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Download delay</w:t>
            </w: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17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18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5263" w:rsidRPr="00294B0B" w:rsidTr="00202BB6">
        <w:tc>
          <w:tcPr>
            <w:tcW w:w="1603" w:type="dxa"/>
            <w:vMerge w:val="restart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User satisfaction</w:t>
            </w: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19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1603" w:type="dxa"/>
            <w:vMerge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20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D5263" w:rsidRPr="00294B0B" w:rsidTr="00202BB6">
        <w:tc>
          <w:tcPr>
            <w:tcW w:w="3006" w:type="dxa"/>
            <w:gridSpan w:val="2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Skor</w:t>
            </w:r>
            <w:proofErr w:type="spellEnd"/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626" w:type="dxa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</w:t>
            </w:r>
          </w:p>
        </w:tc>
      </w:tr>
      <w:tr w:rsidR="00ED5263" w:rsidRPr="00294B0B" w:rsidTr="00202BB6">
        <w:tc>
          <w:tcPr>
            <w:tcW w:w="3006" w:type="dxa"/>
            <w:gridSpan w:val="2"/>
          </w:tcPr>
          <w:p w:rsidR="00ED5263" w:rsidRPr="00294B0B" w:rsidRDefault="00ED5263" w:rsidP="00294B0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Σ </w:t>
            </w:r>
            <w:proofErr w:type="spellStart"/>
            <w:r w:rsidRPr="00294B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Skor</w:t>
            </w:r>
            <w:proofErr w:type="spellEnd"/>
            <w:r w:rsidRPr="00294B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94B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294B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nilai</w:t>
            </w:r>
            <w:proofErr w:type="spellEnd"/>
            <w:r w:rsidRPr="00294B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4B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faktual</w:t>
            </w:r>
            <w:proofErr w:type="spellEnd"/>
            <w:r w:rsidRPr="00294B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34" w:type="dxa"/>
            <w:gridSpan w:val="9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611</w:t>
            </w:r>
          </w:p>
        </w:tc>
      </w:tr>
      <w:tr w:rsidR="00ED5263" w:rsidRPr="00294B0B" w:rsidTr="00202BB6">
        <w:tc>
          <w:tcPr>
            <w:tcW w:w="3006" w:type="dxa"/>
            <w:gridSpan w:val="2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Presentase</w:t>
            </w:r>
            <w:proofErr w:type="spellEnd"/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Rata-rata</w:t>
            </w:r>
          </w:p>
        </w:tc>
        <w:tc>
          <w:tcPr>
            <w:tcW w:w="5634" w:type="dxa"/>
            <w:gridSpan w:val="9"/>
          </w:tcPr>
          <w:p w:rsidR="00ED5263" w:rsidRPr="00294B0B" w:rsidRDefault="00ED5263" w:rsidP="00294B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4B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84,86%</w:t>
            </w:r>
          </w:p>
        </w:tc>
      </w:tr>
    </w:tbl>
    <w:p w:rsidR="00ED5263" w:rsidRPr="00294B0B" w:rsidRDefault="00ED5263" w:rsidP="00ED5263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5263" w:rsidRPr="00294B0B" w:rsidRDefault="00ED5263" w:rsidP="00ED5263">
      <w:pPr>
        <w:spacing w:after="0" w:line="480" w:lineRule="auto"/>
        <w:ind w:firstLine="8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diketahui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berbeda-beda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dimaksud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item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dikalikan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bobot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modifikasi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294B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likert</w:t>
      </w:r>
      <w:proofErr w:type="spellEnd"/>
      <w:r w:rsidRPr="00294B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presentase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rata-rata,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terlebih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dahulu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maksimal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tertinggi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modifikasi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likert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dikalikan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penyataan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kuesioner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4x20=80.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proofErr w:type="gram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maksimal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dikalikan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informan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80x9=720.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menghitung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presentase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rata-rata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rumus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D5263" w:rsidRPr="00294B0B" w:rsidRDefault="00ED5263" w:rsidP="00ED5263">
      <w:pPr>
        <w:spacing w:after="0" w:line="480" w:lineRule="auto"/>
        <w:ind w:firstLine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DF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N</m:t>
            </m:r>
          </m:den>
        </m:f>
      </m:oMath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294B0B">
        <w:rPr>
          <w:rFonts w:ascii="Times New Roman" w:hAnsi="Times New Roman" w:cs="Times New Roman"/>
          <w:color w:val="000000" w:themeColor="text1"/>
          <w:sz w:val="24"/>
          <w:szCs w:val="24"/>
        </w:rPr>
        <w:t>x 100%.</w:t>
      </w:r>
    </w:p>
    <w:p w:rsidR="00ED5263" w:rsidRPr="00294B0B" w:rsidRDefault="00ED5263" w:rsidP="00ED5263">
      <w:pPr>
        <w:spacing w:after="0" w:line="480" w:lineRule="auto"/>
        <w:ind w:firstLine="63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611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720</m:t>
            </m:r>
          </m:den>
        </m:f>
      </m:oMath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x 100%</w:t>
      </w:r>
    </w:p>
    <w:p w:rsidR="00ED5263" w:rsidRPr="00294B0B" w:rsidRDefault="00ED5263" w:rsidP="00ED5263">
      <w:pPr>
        <w:spacing w:after="0" w:line="480" w:lineRule="auto"/>
        <w:ind w:firstLine="63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= 84</w:t>
      </w:r>
      <w:proofErr w:type="gram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,86</w:t>
      </w:r>
      <w:proofErr w:type="gram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%</w:t>
      </w:r>
    </w:p>
    <w:p w:rsidR="00ED5263" w:rsidRPr="00294B0B" w:rsidRDefault="00ED5263" w:rsidP="00ED5263">
      <w:pPr>
        <w:spacing w:after="0" w:line="480" w:lineRule="auto"/>
        <w:ind w:firstLine="8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dideskripsikan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persepsi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edmodo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bantu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SD Islam Al-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Falah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Jambi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84</w:t>
      </w:r>
      <w:proofErr w:type="gram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,86</w:t>
      </w:r>
      <w:proofErr w:type="gram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%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dikategorikan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kriteria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itu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disimpulkan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pandangan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persepsi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edmodo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bantu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SD Islam Al-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Falah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Jambi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dikategorikan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dikarenakan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kesembilan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indikator-indikator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persepsi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kemudahan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94B0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easy</w:t>
      </w:r>
      <w:proofErr w:type="spellEnd"/>
      <w:r w:rsidRPr="00294B0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of use</w:t>
      </w:r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w:r w:rsidRPr="00294B0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customization</w:t>
      </w:r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kecepatan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akses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w:r w:rsidRPr="00294B0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download delay</w:t>
      </w:r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penyajian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w:r w:rsidRPr="00294B0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content</w:t>
      </w:r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kepuasan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w:r w:rsidRPr="00294B0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user satisfaction</w:t>
      </w:r>
      <w:r w:rsidRPr="00294B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).</w:t>
      </w:r>
    </w:p>
    <w:bookmarkStart w:id="0" w:name="_GoBack"/>
    <w:p w:rsidR="00676327" w:rsidRPr="00294B0B" w:rsidRDefault="00294B0B" w:rsidP="00ED526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4B0B">
        <w:rPr>
          <w:rFonts w:ascii="Times New Roman" w:hAnsi="Times New Roman" w:cs="Times New Roman"/>
          <w:b/>
          <w:sz w:val="24"/>
          <w:szCs w:val="24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7" o:title=""/>
          </v:shape>
          <o:OLEObject Type="Embed" ProgID="AcroExch.Document.11" ShapeID="_x0000_i1025" DrawAspect="Content" ObjectID="_1645932388" r:id="rId8"/>
        </w:object>
      </w:r>
      <w:bookmarkEnd w:id="0"/>
    </w:p>
    <w:sectPr w:rsidR="00676327" w:rsidRPr="00294B0B" w:rsidSect="00676327">
      <w:pgSz w:w="11907" w:h="16839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A2087"/>
    <w:multiLevelType w:val="multilevel"/>
    <w:tmpl w:val="1E26FF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D5A4596"/>
    <w:multiLevelType w:val="hybridMultilevel"/>
    <w:tmpl w:val="E23EE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27"/>
    <w:rsid w:val="00294B0B"/>
    <w:rsid w:val="00676327"/>
    <w:rsid w:val="00C5697A"/>
    <w:rsid w:val="00E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8EDBD-5B11-448C-892F-97B1B413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6763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32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5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rsid w:val="00ED5263"/>
  </w:style>
  <w:style w:type="paragraph" w:customStyle="1" w:styleId="Default">
    <w:name w:val="Default"/>
    <w:rsid w:val="00ED52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7977/um020v13i12019p97" TargetMode="External"/><Relationship Id="rId5" Type="http://schemas.openxmlformats.org/officeDocument/2006/relationships/hyperlink" Target="https://doi.org/10.31980/mosharafa.v7i3.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2020-03-16T23:15:00Z</dcterms:created>
  <dcterms:modified xsi:type="dcterms:W3CDTF">2020-03-16T23:40:00Z</dcterms:modified>
</cp:coreProperties>
</file>