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F5EB1" w14:textId="46B48440" w:rsidR="009D2A9E" w:rsidRDefault="00A3591C" w:rsidP="00A3591C">
      <w:pPr>
        <w:pStyle w:val="ListParagraph"/>
        <w:spacing w:before="120" w:after="120"/>
        <w:ind w:firstLine="284"/>
        <w:jc w:val="center"/>
        <w:rPr>
          <w:rFonts w:ascii="Cambria" w:hAnsi="Cambria"/>
          <w:vertAlign w:val="superscript"/>
        </w:rPr>
      </w:pPr>
      <w:r w:rsidRPr="00A3591C">
        <w:rPr>
          <w:rFonts w:ascii="Cambria" w:hAnsi="Cambria"/>
          <w:b/>
          <w:sz w:val="38"/>
          <w:szCs w:val="38"/>
        </w:rPr>
        <w:t>Integrating Toraja Cultural Elements in Sentence Writing: Enhancing English Education for Students at UKI Toraja</w:t>
      </w:r>
    </w:p>
    <w:p w14:paraId="6EAE2E81" w14:textId="4527BD1C" w:rsidR="009D2A9E" w:rsidRDefault="009D2A9E" w:rsidP="004C33FB">
      <w:pPr>
        <w:spacing w:before="240" w:after="240"/>
        <w:jc w:val="both"/>
        <w:rPr>
          <w:rFonts w:ascii="Cambria" w:hAnsi="Cambria"/>
          <w:sz w:val="24"/>
          <w:szCs w:val="24"/>
          <w:lang w:val="en-US"/>
        </w:rPr>
      </w:pPr>
      <w:r w:rsidRPr="009D2A9E">
        <w:rPr>
          <w:rFonts w:ascii="Cambria" w:hAnsi="Cambria"/>
          <w:sz w:val="40"/>
          <w:szCs w:val="40"/>
          <w:vertAlign w:val="superscript"/>
          <w:lang w:val="en-US"/>
        </w:rPr>
        <w:t>1</w:t>
      </w:r>
      <w:r>
        <w:rPr>
          <w:rFonts w:ascii="Cambria" w:hAnsi="Cambria"/>
          <w:sz w:val="24"/>
          <w:szCs w:val="24"/>
          <w:lang w:val="en-US"/>
        </w:rPr>
        <w:t xml:space="preserve"> </w:t>
      </w:r>
      <w:r w:rsidRPr="009D2A9E">
        <w:rPr>
          <w:rFonts w:ascii="Cambria" w:hAnsi="Cambria"/>
          <w:sz w:val="24"/>
          <w:szCs w:val="24"/>
        </w:rPr>
        <w:t>Judith Ratu Tandi Arrang</w:t>
      </w:r>
      <w:r>
        <w:rPr>
          <w:rFonts w:ascii="Cambria" w:hAnsi="Cambria"/>
          <w:sz w:val="24"/>
          <w:szCs w:val="24"/>
          <w:lang w:val="en-US"/>
        </w:rPr>
        <w:t>’ Universitas Kristen Indonesia Toraja</w:t>
      </w:r>
      <w:r w:rsidR="008C6DBD">
        <w:rPr>
          <w:rFonts w:ascii="Cambria" w:hAnsi="Cambria"/>
          <w:sz w:val="24"/>
          <w:szCs w:val="24"/>
          <w:lang w:val="en-US"/>
        </w:rPr>
        <w:t>, Indonesia</w:t>
      </w:r>
    </w:p>
    <w:p w14:paraId="5996921D" w14:textId="2D493E92" w:rsidR="009D2A9E" w:rsidRDefault="00E61FB0" w:rsidP="004C33FB">
      <w:pPr>
        <w:spacing w:before="240" w:after="240"/>
        <w:jc w:val="both"/>
        <w:rPr>
          <w:rFonts w:ascii="Cambria" w:hAnsi="Cambria"/>
          <w:sz w:val="24"/>
          <w:szCs w:val="24"/>
          <w:lang w:val="en-US"/>
        </w:rPr>
      </w:pPr>
      <w:r w:rsidRPr="00E61FB0">
        <w:rPr>
          <w:rFonts w:ascii="Cambria" w:hAnsi="Cambria"/>
          <w:sz w:val="24"/>
          <w:szCs w:val="24"/>
          <w:vertAlign w:val="superscript"/>
        </w:rPr>
        <w:t xml:space="preserve">1 </w:t>
      </w:r>
      <w:r>
        <w:rPr>
          <w:rFonts w:ascii="Cambria" w:hAnsi="Cambria"/>
          <w:sz w:val="24"/>
          <w:szCs w:val="24"/>
        </w:rPr>
        <w:t>judithratu</w:t>
      </w:r>
      <w:r w:rsidRPr="00E61FB0">
        <w:rPr>
          <w:rFonts w:ascii="Cambria" w:hAnsi="Cambria"/>
          <w:sz w:val="24"/>
          <w:szCs w:val="24"/>
        </w:rPr>
        <w:t>@</w:t>
      </w:r>
      <w:r>
        <w:rPr>
          <w:rFonts w:ascii="Cambria" w:hAnsi="Cambria"/>
          <w:sz w:val="24"/>
          <w:szCs w:val="24"/>
        </w:rPr>
        <w:t>ukitoraja</w:t>
      </w:r>
      <w:r w:rsidRPr="00E61FB0">
        <w:rPr>
          <w:rFonts w:ascii="Cambria" w:hAnsi="Cambria"/>
          <w:sz w:val="24"/>
          <w:szCs w:val="24"/>
        </w:rPr>
        <w:t>.ac.id</w:t>
      </w:r>
    </w:p>
    <w:p w14:paraId="521ED23C" w14:textId="6AF0C891" w:rsidR="009D2A9E" w:rsidRDefault="009D2A9E" w:rsidP="004C33FB">
      <w:pPr>
        <w:spacing w:before="240" w:after="240"/>
        <w:jc w:val="both"/>
        <w:rPr>
          <w:rFonts w:ascii="Cambria" w:hAnsi="Cambria"/>
          <w:sz w:val="24"/>
          <w:szCs w:val="24"/>
          <w:lang w:val="en-US"/>
        </w:rPr>
      </w:pPr>
      <w:r w:rsidRPr="009D2A9E">
        <w:rPr>
          <w:rFonts w:ascii="Cambria" w:hAnsi="Cambria"/>
          <w:sz w:val="40"/>
          <w:szCs w:val="40"/>
          <w:vertAlign w:val="superscript"/>
          <w:lang w:val="en-US"/>
        </w:rPr>
        <w:t>2</w:t>
      </w:r>
      <w:r w:rsidRPr="009D2A9E">
        <w:rPr>
          <w:rFonts w:ascii="Cambria" w:hAnsi="Cambria"/>
          <w:sz w:val="24"/>
          <w:szCs w:val="24"/>
        </w:rPr>
        <w:t>Sushy Teko Patanduk</w:t>
      </w:r>
      <w:r w:rsidR="008C6DBD">
        <w:rPr>
          <w:rFonts w:ascii="Cambria" w:hAnsi="Cambria"/>
          <w:sz w:val="24"/>
          <w:szCs w:val="24"/>
          <w:lang w:val="en-US"/>
        </w:rPr>
        <w:t>’ Universitas Kristen Indonesia Toraja, Indonesia</w:t>
      </w:r>
    </w:p>
    <w:p w14:paraId="20174121" w14:textId="291721B0" w:rsidR="00E61FB0" w:rsidRDefault="00E61FB0" w:rsidP="004C33FB">
      <w:pPr>
        <w:spacing w:before="240" w:after="240"/>
        <w:jc w:val="both"/>
        <w:rPr>
          <w:rFonts w:ascii="Cambria" w:hAnsi="Cambria"/>
          <w:sz w:val="24"/>
          <w:szCs w:val="24"/>
          <w:lang w:val="en-US"/>
        </w:rPr>
      </w:pPr>
      <w:r>
        <w:rPr>
          <w:rFonts w:ascii="Cambria" w:hAnsi="Cambria"/>
          <w:sz w:val="24"/>
          <w:szCs w:val="24"/>
          <w:vertAlign w:val="superscript"/>
        </w:rPr>
        <w:t>2</w:t>
      </w:r>
      <w:r w:rsidRPr="00E61FB0">
        <w:rPr>
          <w:rFonts w:ascii="Cambria" w:hAnsi="Cambria"/>
          <w:sz w:val="24"/>
          <w:szCs w:val="24"/>
          <w:vertAlign w:val="superscript"/>
        </w:rPr>
        <w:t xml:space="preserve"> </w:t>
      </w:r>
      <w:r>
        <w:rPr>
          <w:rFonts w:ascii="Cambria" w:hAnsi="Cambria"/>
          <w:sz w:val="24"/>
          <w:szCs w:val="24"/>
        </w:rPr>
        <w:t>sushy</w:t>
      </w:r>
      <w:r w:rsidRPr="00E61FB0">
        <w:rPr>
          <w:rFonts w:ascii="Cambria" w:hAnsi="Cambria"/>
          <w:sz w:val="24"/>
          <w:szCs w:val="24"/>
        </w:rPr>
        <w:t>@</w:t>
      </w:r>
      <w:r>
        <w:rPr>
          <w:rFonts w:ascii="Cambria" w:hAnsi="Cambria"/>
          <w:sz w:val="24"/>
          <w:szCs w:val="24"/>
        </w:rPr>
        <w:t>ukitoraja</w:t>
      </w:r>
      <w:r w:rsidRPr="00E61FB0">
        <w:rPr>
          <w:rFonts w:ascii="Cambria" w:hAnsi="Cambria"/>
          <w:sz w:val="24"/>
          <w:szCs w:val="24"/>
        </w:rPr>
        <w:t>.ac.id</w:t>
      </w:r>
    </w:p>
    <w:p w14:paraId="58C5AB8B" w14:textId="0E76C202" w:rsidR="009D2A9E" w:rsidRDefault="009D2A9E" w:rsidP="004C33FB">
      <w:pPr>
        <w:spacing w:before="240" w:after="240"/>
        <w:jc w:val="both"/>
        <w:rPr>
          <w:rFonts w:ascii="Cambria" w:hAnsi="Cambria"/>
          <w:sz w:val="24"/>
          <w:szCs w:val="24"/>
          <w:lang w:val="en-US"/>
        </w:rPr>
      </w:pPr>
      <w:r w:rsidRPr="009D2A9E">
        <w:rPr>
          <w:rFonts w:ascii="Cambria" w:hAnsi="Cambria"/>
          <w:sz w:val="40"/>
          <w:szCs w:val="40"/>
          <w:vertAlign w:val="superscript"/>
          <w:lang w:val="en-US"/>
        </w:rPr>
        <w:t>3</w:t>
      </w:r>
      <w:r w:rsidRPr="009D2A9E">
        <w:rPr>
          <w:rFonts w:ascii="Cambria" w:hAnsi="Cambria"/>
          <w:sz w:val="24"/>
          <w:szCs w:val="24"/>
        </w:rPr>
        <w:t>Viktor Siumarlata</w:t>
      </w:r>
      <w:r w:rsidR="008C6DBD">
        <w:rPr>
          <w:rFonts w:ascii="Cambria" w:hAnsi="Cambria"/>
          <w:sz w:val="24"/>
          <w:szCs w:val="24"/>
          <w:lang w:val="en-US"/>
        </w:rPr>
        <w:t>’ Universitas Kristen Indonesia Toraja, Indonesia</w:t>
      </w:r>
    </w:p>
    <w:p w14:paraId="372A55B9" w14:textId="0C9D1AB5" w:rsidR="00E61FB0" w:rsidRDefault="004C33FB" w:rsidP="004C33FB">
      <w:pPr>
        <w:spacing w:before="240" w:after="240"/>
        <w:jc w:val="both"/>
        <w:rPr>
          <w:rFonts w:ascii="Cambria" w:hAnsi="Cambria"/>
          <w:sz w:val="24"/>
          <w:szCs w:val="24"/>
        </w:rPr>
      </w:pPr>
      <w:hyperlink r:id="rId6" w:history="1">
        <w:r w:rsidRPr="00544E5B">
          <w:rPr>
            <w:rStyle w:val="Hyperlink"/>
            <w:rFonts w:ascii="Cambria" w:hAnsi="Cambria"/>
            <w:sz w:val="24"/>
            <w:szCs w:val="24"/>
            <w:vertAlign w:val="superscript"/>
          </w:rPr>
          <w:t>3</w:t>
        </w:r>
        <w:r w:rsidRPr="00544E5B">
          <w:rPr>
            <w:rStyle w:val="Hyperlink"/>
            <w:rFonts w:ascii="Cambria" w:hAnsi="Cambria"/>
            <w:sz w:val="24"/>
            <w:szCs w:val="24"/>
          </w:rPr>
          <w:t>viktor@ukitoraja.ac.id</w:t>
        </w:r>
      </w:hyperlink>
    </w:p>
    <w:p w14:paraId="44135AB7" w14:textId="4A1C9203" w:rsidR="004C33FB" w:rsidRDefault="004C33FB" w:rsidP="004C33FB">
      <w:pPr>
        <w:spacing w:before="240" w:after="240"/>
        <w:jc w:val="both"/>
        <w:rPr>
          <w:rFonts w:ascii="Cambria" w:hAnsi="Cambria"/>
          <w:sz w:val="24"/>
          <w:szCs w:val="24"/>
        </w:rPr>
      </w:pPr>
      <w:r w:rsidRPr="004C33FB">
        <w:rPr>
          <w:rFonts w:ascii="Cambria" w:hAnsi="Cambria"/>
          <w:sz w:val="24"/>
          <w:szCs w:val="24"/>
          <w:vertAlign w:val="superscript"/>
        </w:rPr>
        <w:t>4</w:t>
      </w:r>
      <w:r w:rsidRPr="004C33FB">
        <w:rPr>
          <w:rFonts w:ascii="Cambria" w:hAnsi="Cambria"/>
          <w:sz w:val="24"/>
          <w:szCs w:val="24"/>
        </w:rPr>
        <w:t>Yabes Ba’dung</w:t>
      </w:r>
      <w:r>
        <w:rPr>
          <w:rFonts w:ascii="Cambria" w:hAnsi="Cambria"/>
          <w:sz w:val="24"/>
          <w:szCs w:val="24"/>
        </w:rPr>
        <w:t xml:space="preserve">’ </w:t>
      </w:r>
      <w:r>
        <w:rPr>
          <w:rFonts w:ascii="Cambria" w:hAnsi="Cambria"/>
          <w:sz w:val="24"/>
          <w:szCs w:val="24"/>
          <w:lang w:val="en-US"/>
        </w:rPr>
        <w:t>Universitas Kristen Indonesia Toraja, Indonesia</w:t>
      </w:r>
    </w:p>
    <w:p w14:paraId="55F8D101" w14:textId="1DD66206" w:rsidR="004C33FB" w:rsidRDefault="004C33FB" w:rsidP="004C33FB">
      <w:pPr>
        <w:spacing w:before="240" w:after="240"/>
        <w:jc w:val="both"/>
        <w:rPr>
          <w:rFonts w:ascii="Cambria" w:hAnsi="Cambria"/>
          <w:sz w:val="24"/>
          <w:szCs w:val="24"/>
        </w:rPr>
      </w:pPr>
      <w:r w:rsidRPr="004C33FB">
        <w:rPr>
          <w:rFonts w:ascii="Cambria" w:hAnsi="Cambria"/>
          <w:sz w:val="24"/>
          <w:szCs w:val="24"/>
        </w:rPr>
        <w:t xml:space="preserve"> </w:t>
      </w:r>
      <w:r w:rsidRPr="004C33FB">
        <w:rPr>
          <w:rFonts w:ascii="Cambria" w:hAnsi="Cambria"/>
          <w:sz w:val="24"/>
          <w:szCs w:val="24"/>
          <w:vertAlign w:val="superscript"/>
        </w:rPr>
        <w:t>5</w:t>
      </w:r>
      <w:r w:rsidRPr="004C33FB">
        <w:rPr>
          <w:rFonts w:ascii="Cambria" w:hAnsi="Cambria"/>
          <w:sz w:val="24"/>
          <w:szCs w:val="24"/>
        </w:rPr>
        <w:t xml:space="preserve">Veronika </w:t>
      </w:r>
      <w:r>
        <w:rPr>
          <w:rFonts w:ascii="Cambria" w:hAnsi="Cambria"/>
          <w:sz w:val="24"/>
          <w:szCs w:val="24"/>
        </w:rPr>
        <w:t xml:space="preserve">‘ </w:t>
      </w:r>
      <w:r>
        <w:rPr>
          <w:rFonts w:ascii="Cambria" w:hAnsi="Cambria"/>
          <w:sz w:val="24"/>
          <w:szCs w:val="24"/>
          <w:lang w:val="en-US"/>
        </w:rPr>
        <w:t>Universitas Kristen Indonesia Toraja, Indonesia</w:t>
      </w:r>
    </w:p>
    <w:p w14:paraId="6BF81D47" w14:textId="4895C1E1" w:rsidR="004C33FB" w:rsidRDefault="004C33FB" w:rsidP="004C33FB">
      <w:pPr>
        <w:spacing w:before="240" w:after="240"/>
        <w:jc w:val="both"/>
        <w:rPr>
          <w:rFonts w:ascii="Cambria" w:hAnsi="Cambria"/>
          <w:sz w:val="24"/>
          <w:szCs w:val="24"/>
          <w:lang w:val="en-US"/>
        </w:rPr>
      </w:pPr>
      <w:r w:rsidRPr="004C33FB">
        <w:rPr>
          <w:rFonts w:ascii="Cambria" w:hAnsi="Cambria"/>
          <w:sz w:val="24"/>
          <w:szCs w:val="24"/>
          <w:vertAlign w:val="superscript"/>
        </w:rPr>
        <w:t>6</w:t>
      </w:r>
      <w:r w:rsidRPr="004C33FB">
        <w:rPr>
          <w:rFonts w:ascii="Cambria" w:hAnsi="Cambria"/>
          <w:sz w:val="24"/>
          <w:szCs w:val="24"/>
        </w:rPr>
        <w:t xml:space="preserve">Jones Cherady </w:t>
      </w:r>
      <w:r>
        <w:rPr>
          <w:rFonts w:ascii="Cambria" w:hAnsi="Cambria"/>
          <w:sz w:val="24"/>
          <w:szCs w:val="24"/>
        </w:rPr>
        <w:t xml:space="preserve">‘ </w:t>
      </w:r>
      <w:r>
        <w:rPr>
          <w:rFonts w:ascii="Cambria" w:hAnsi="Cambria"/>
          <w:sz w:val="24"/>
          <w:szCs w:val="24"/>
          <w:lang w:val="en-US"/>
        </w:rPr>
        <w:t>Universitas Kristen Indonesia Toraja, Indonesia</w:t>
      </w:r>
    </w:p>
    <w:p w14:paraId="7CFD8E34" w14:textId="77777777" w:rsidR="008C6DBD" w:rsidRPr="009D2A9E" w:rsidRDefault="008C6DBD" w:rsidP="006B081B">
      <w:pPr>
        <w:spacing w:before="120" w:after="120"/>
        <w:ind w:left="142" w:firstLine="284"/>
        <w:jc w:val="both"/>
        <w:rPr>
          <w:rFonts w:ascii="Cambria" w:hAnsi="Cambria"/>
          <w:sz w:val="24"/>
          <w:szCs w:val="24"/>
        </w:rPr>
      </w:pPr>
    </w:p>
    <w:p w14:paraId="01C0A8DB" w14:textId="16E5331A" w:rsidR="008C6DBD" w:rsidRPr="00C44BE9" w:rsidRDefault="008C6DBD" w:rsidP="006B081B">
      <w:pPr>
        <w:spacing w:before="120" w:after="120"/>
        <w:ind w:firstLine="284"/>
        <w:jc w:val="both"/>
        <w:rPr>
          <w:rFonts w:ascii="Cambria" w:eastAsia="Cambria" w:hAnsi="Cambria" w:cs="Cambria"/>
          <w:b/>
          <w:sz w:val="24"/>
          <w:szCs w:val="24"/>
        </w:rPr>
      </w:pPr>
      <w:r w:rsidRPr="00C44BE9">
        <w:rPr>
          <w:rFonts w:ascii="Cambria" w:eastAsia="Cambria" w:hAnsi="Cambria" w:cs="Cambria"/>
          <w:b/>
          <w:sz w:val="24"/>
          <w:szCs w:val="24"/>
        </w:rPr>
        <w:t>Abstract</w:t>
      </w:r>
    </w:p>
    <w:p w14:paraId="1E052C65" w14:textId="7B88B78F" w:rsidR="006B081B" w:rsidRPr="00C44BE9" w:rsidRDefault="00C44BE9" w:rsidP="00C44BE9">
      <w:pPr>
        <w:pStyle w:val="BodyText"/>
        <w:ind w:left="1440"/>
        <w:jc w:val="both"/>
        <w:rPr>
          <w:rFonts w:ascii="Cambria" w:hAnsi="Cambria"/>
        </w:rPr>
      </w:pPr>
      <w:r w:rsidRPr="00C44BE9">
        <w:rPr>
          <w:rFonts w:ascii="Cambria" w:hAnsi="Cambria"/>
        </w:rPr>
        <w:t>This study examines the integration of Toraja cultural elements in the</w:t>
      </w:r>
      <w:r>
        <w:rPr>
          <w:rFonts w:ascii="Cambria" w:hAnsi="Cambria"/>
        </w:rPr>
        <w:t xml:space="preserve"> sentence </w:t>
      </w:r>
      <w:r w:rsidRPr="00C44BE9">
        <w:rPr>
          <w:rFonts w:ascii="Cambria" w:hAnsi="Cambria"/>
        </w:rPr>
        <w:t xml:space="preserve">writing of English Education students at UKI Toraja. Using a quantitative descriptive analysis with 56 participants, the research utilized a questionnaire to evaluate engagement with local cultural aspects. The results show </w:t>
      </w:r>
      <w:r>
        <w:rPr>
          <w:rFonts w:ascii="Cambria" w:hAnsi="Cambria"/>
        </w:rPr>
        <w:t xml:space="preserve">a </w:t>
      </w:r>
      <w:r w:rsidRPr="00C44BE9">
        <w:rPr>
          <w:rFonts w:ascii="Cambria" w:hAnsi="Cambria"/>
        </w:rPr>
        <w:t xml:space="preserve">significant incorporation of traditional food and natural landscapes, which received mean scores of 59 and 63, respectively, indicating students' appreciation for their heritage and enhancing their identity through sensory experiences. However, cultural expressions such as Londe/Pantun and the Rambu Tuka’ ceremony were less represented, with mean scores of 41 and 52, revealing gaps in students' familiarity and confidence. These findings highlight the need for educational initiatives that encourage </w:t>
      </w:r>
      <w:r>
        <w:rPr>
          <w:rFonts w:ascii="Cambria" w:hAnsi="Cambria"/>
        </w:rPr>
        <w:t xml:space="preserve">the </w:t>
      </w:r>
      <w:r w:rsidRPr="00C44BE9">
        <w:rPr>
          <w:rFonts w:ascii="Cambria" w:hAnsi="Cambria"/>
        </w:rPr>
        <w:t xml:space="preserve">exploration of </w:t>
      </w:r>
      <w:r w:rsidRPr="00C44BE9">
        <w:rPr>
          <w:rFonts w:ascii="Cambria" w:hAnsi="Cambria"/>
        </w:rPr>
        <w:lastRenderedPageBreak/>
        <w:t>underrepresented cultural elements, thereby enriching student narratives and providing a more comprehensive portrayal of Toraja culture. Expanding curricular approaches to include diverse expressions of local heritage can improve writing skills and strengthen cultural connections among students.</w:t>
      </w:r>
    </w:p>
    <w:p w14:paraId="0DF823A7" w14:textId="0C33104E" w:rsidR="001C40F8" w:rsidRDefault="001D187B" w:rsidP="006B081B">
      <w:pPr>
        <w:pStyle w:val="BodyText"/>
        <w:spacing w:before="120" w:after="120"/>
        <w:ind w:left="160" w:right="95" w:firstLine="284"/>
        <w:jc w:val="both"/>
        <w:rPr>
          <w:spacing w:val="-2"/>
          <w:lang w:val="en-US"/>
        </w:rPr>
      </w:pPr>
      <w:r>
        <w:rPr>
          <w:rFonts w:ascii="Cambria" w:hAnsi="Cambria"/>
          <w:b/>
          <w:bCs/>
          <w:i/>
          <w:iCs/>
          <w:lang w:val="en-US"/>
        </w:rPr>
        <w:t xml:space="preserve">Keywords; </w:t>
      </w:r>
      <w:r w:rsidR="001C40F8" w:rsidRPr="001C40F8">
        <w:rPr>
          <w:rFonts w:ascii="Cambria" w:hAnsi="Cambria"/>
          <w:i/>
          <w:iCs/>
        </w:rPr>
        <w:t>local</w:t>
      </w:r>
      <w:r w:rsidR="001C40F8" w:rsidRPr="001C40F8">
        <w:rPr>
          <w:rFonts w:ascii="Cambria" w:hAnsi="Cambria"/>
          <w:i/>
          <w:iCs/>
          <w:spacing w:val="-1"/>
        </w:rPr>
        <w:t xml:space="preserve"> </w:t>
      </w:r>
      <w:r w:rsidR="001C40F8" w:rsidRPr="001C40F8">
        <w:rPr>
          <w:rFonts w:ascii="Cambria" w:hAnsi="Cambria"/>
          <w:i/>
          <w:iCs/>
        </w:rPr>
        <w:t xml:space="preserve">wisdom, sentence writing, </w:t>
      </w:r>
      <w:r w:rsidR="001C40F8">
        <w:rPr>
          <w:spacing w:val="-2"/>
        </w:rPr>
        <w:t>Toraja</w:t>
      </w:r>
      <w:r>
        <w:rPr>
          <w:spacing w:val="-2"/>
          <w:lang w:val="en-US"/>
        </w:rPr>
        <w:t>.</w:t>
      </w:r>
    </w:p>
    <w:p w14:paraId="55A074A4" w14:textId="77777777" w:rsidR="001D187B" w:rsidRPr="001D187B" w:rsidRDefault="001D187B" w:rsidP="006B081B">
      <w:pPr>
        <w:pStyle w:val="BodyText"/>
        <w:spacing w:before="120" w:after="120"/>
        <w:ind w:left="160" w:right="95" w:firstLine="284"/>
        <w:jc w:val="both"/>
        <w:rPr>
          <w:rFonts w:ascii="Cambria" w:hAnsi="Cambria"/>
          <w:lang w:val="en-US"/>
        </w:rPr>
      </w:pPr>
    </w:p>
    <w:p w14:paraId="320EEE8E" w14:textId="08EF3FB8" w:rsidR="001C40F8" w:rsidRDefault="001C40F8" w:rsidP="006B081B">
      <w:pPr>
        <w:spacing w:before="120" w:after="120"/>
        <w:jc w:val="both"/>
        <w:rPr>
          <w:rFonts w:ascii="Cambria" w:eastAsia="Cambria" w:hAnsi="Cambria" w:cs="Cambria"/>
          <w:b/>
          <w:sz w:val="34"/>
          <w:szCs w:val="34"/>
        </w:rPr>
      </w:pPr>
      <w:bookmarkStart w:id="0" w:name="_Hlk182677687"/>
      <w:r>
        <w:rPr>
          <w:rFonts w:ascii="Cambria" w:eastAsia="Cambria" w:hAnsi="Cambria" w:cs="Cambria"/>
          <w:b/>
          <w:sz w:val="34"/>
          <w:szCs w:val="34"/>
        </w:rPr>
        <w:t>Introduction</w:t>
      </w:r>
    </w:p>
    <w:bookmarkEnd w:id="0"/>
    <w:p w14:paraId="0F6346DB" w14:textId="5C5A0990" w:rsidR="007B161D" w:rsidRPr="00D10EF9" w:rsidRDefault="007B161D" w:rsidP="006B081B">
      <w:pPr>
        <w:pStyle w:val="BodyText"/>
        <w:tabs>
          <w:tab w:val="left" w:pos="8647"/>
        </w:tabs>
        <w:spacing w:before="120" w:after="120"/>
        <w:ind w:firstLine="284"/>
        <w:jc w:val="both"/>
        <w:rPr>
          <w:rFonts w:ascii="Cambria" w:hAnsi="Cambria"/>
          <w:lang w:val="en-ID" w:eastAsia="en-ID"/>
        </w:rPr>
      </w:pPr>
      <w:r w:rsidRPr="00D10EF9">
        <w:rPr>
          <w:rFonts w:ascii="Cambria" w:hAnsi="Cambria"/>
          <w:lang w:val="en-US"/>
        </w:rPr>
        <w:t>Writing</w:t>
      </w:r>
      <w:r w:rsidR="00735836" w:rsidRPr="00735836">
        <w:rPr>
          <w:rFonts w:ascii="Cambria" w:hAnsi="Cambria"/>
          <w:lang w:val="en-ID" w:eastAsia="en-ID"/>
        </w:rPr>
        <w:t xml:space="preserve"> is an essential component of the educational process when it comes to learning English, especially for students enrolled in postsecondary education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{"citationItems":[{"id":"ITEM-1","itemData":{"DOI":"10.4324/9781315869841-6","abstract":"This paper explores writing skills which seem to be the least popular and most difficult skills to acquire in a foreign language. Nevertheless, they are crucial in the development of other language and metacognitive skills. The article attempts to discuss benefits and reasons why it is important to develop writing and supports them with the findings of empirical research conducted at the Faculty of Informatics and Management, Czech Republic","author":[{"dropping-particle":"","family":"Miller","given":"Scott A.","non-dropping-particle":"","parse-names":false,"suffix":""}],"container-title":"Writing in Psychology","id":"ITEM-1","issue":"January","issued":{"date-parts":[["2021"]]},"page":"13-18","title":"The Importance of Writing","type":"article-journal"},"uris":["http://www.mendeley.com/documents/?uuid=4fc4a897-576c-488b-b7b3-8390654fc7a9"]},{"id":"ITEM-2","itemData":{"DOI":"10.1080/03075070701267285","ISSN":"03075079","abstract":"This article deals with how a major top-down reform in Norwegian higher education has affected student writing, and teachers' and students' roles. The Quality Reform was strongly influenced by the Bologna Declaration and was implemented from 2002. One of the outcomes was that, while Norwegian universities previously demanded very little undergraduate writing before the traditional sit-down examination, most courses now include student essay writing and teacher feedback. Portfolio assessment, which demands extended writing, has been introduced. The article presents some results from an evaluation of the reform, and the following questions are discussed: (1) why did the reform change writing practices; (2) what other factors have contributed to the change; (3) in what ways have the changes in writing practices affected students and teachers; and (4) what are unintended results and critical factors in the future development of writing in the aftermath of the reform?.","author":[{"dropping-particle":"","family":"Dysthe","given":"Olga","non-dropping-particle":"","parse-names":false,"suffix":""}],"container-title":"Studies in Higher Education","id":"ITEM-2","issue":"2","issued":{"date-parts":[["2007"]]},"page":"237-252","title":"How a reform affects writing in higher education","type":"article-journal","volume":"32"},"uris":["http://www.mendeley.com/documents/?uuid=31714834-594c-4d61-80ad-7437f5ba92e8"]}],"mendeley":{"formattedCitation":"(Dysthe, 2007; Miller, 2021)","plainTextFormattedCitation":"(Dysthe, 2007; Miller, 2021)","previouslyFormattedCitation":"(Dysthe, 2007; Miller, 2021)"},"properties":{"noteIndex":0},"schema":"https://github.com/citation-style-language/schema/raw/master/csl-citation.json"}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(Dysthe, 2007; Miller, 2021)</w:t>
      </w:r>
      <w:r w:rsidR="001E489B">
        <w:rPr>
          <w:rFonts w:ascii="Cambria" w:hAnsi="Cambria"/>
          <w:lang w:val="en-ID" w:eastAsia="en-ID"/>
        </w:rPr>
        <w:fldChar w:fldCharType="end"/>
      </w:r>
      <w:r w:rsidR="00735836" w:rsidRPr="00735836">
        <w:rPr>
          <w:rFonts w:ascii="Cambria" w:hAnsi="Cambria"/>
          <w:lang w:val="en-ID" w:eastAsia="en-ID"/>
        </w:rPr>
        <w:t xml:space="preserve">. The ability of a learner to construct grammatically correct and coherent sentences is a useful indicator of English proficiency. Sentence writing proficiency and overall English proficiency are significantly correlated, according to research; students who perform well in writing also typically exhibit improved speaking and reading comprehension skills. According to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{"citationItems":[{"id":"ITEM-1","itemData":{"abstract":"… antara penguasaan kosakata siswa dan keterampilan menulis siswa pada semester dua … Sampel pada penelitian ini sebanyak 30 siswa dari populasi sebanyak 105 siswa kelas 10 …","author":[{"dropping-particle":"","family":"Yuningsih","given":"Neneng","non-dropping-particle":"","parse-names":false,"suffix":""},{"dropping-particle":"","family":"Astuti","given":"Sari","non-dropping-particle":"","parse-names":false,"suffix":""}],"container-title":"Prosiding Seminar Nasional Pendidikan STKIP Kusuma Negara I","id":"ITEM-1","issued":{"date-parts":[["2019"]]},"page":"2018-2021","title":"Hubungan antara Penguasaan Kosakata Bahasa Inggris dan Keterampilan Menulis","type":"article-journal"},"uris":["http://www.mendeley.com/documents/?uuid=6a249327-966f-428c-a970-4974d2bc34ec"]}],"mendeley":{"formattedCitation":"(Yuningsih &amp; Astuti, 2019)","plainTextFormattedCitation":"(Yuningsih &amp; Astuti, 2019)","previouslyFormattedCitation":"(Yuningsih &amp; Astuti, 2019)"},"properties":{"noteIndex":0},"schema":"https://github.com/citation-style-language/schema/raw/master/csl-citation.json"}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(Yuningsih &amp; Astuti, 2019)</w:t>
      </w:r>
      <w:r w:rsidR="001E489B">
        <w:rPr>
          <w:rFonts w:ascii="Cambria" w:hAnsi="Cambria"/>
          <w:lang w:val="en-ID" w:eastAsia="en-ID"/>
        </w:rPr>
        <w:fldChar w:fldCharType="end"/>
      </w:r>
      <w:r w:rsidR="00735836" w:rsidRPr="00735836">
        <w:rPr>
          <w:rFonts w:ascii="Cambria" w:hAnsi="Cambria"/>
          <w:lang w:val="en-ID" w:eastAsia="en-ID"/>
        </w:rPr>
        <w:t>, students who possess strong sentence construction skills are more likely to interact with complex texts more successfully and express their ideas clearly. This connection emphasizes how crucial writing skills are for helping readers understand more complex ideas presented in paragraphs or essays.</w:t>
      </w:r>
    </w:p>
    <w:p w14:paraId="2210ABDA" w14:textId="3310E0EC" w:rsidR="00D10EF9" w:rsidRPr="00D10EF9" w:rsidRDefault="007B161D" w:rsidP="006B081B">
      <w:pPr>
        <w:pStyle w:val="BodyText"/>
        <w:tabs>
          <w:tab w:val="left" w:pos="8647"/>
        </w:tabs>
        <w:spacing w:before="120" w:after="120"/>
        <w:ind w:left="160" w:firstLine="284"/>
        <w:jc w:val="both"/>
        <w:rPr>
          <w:rFonts w:ascii="Cambria" w:hAnsi="Cambria"/>
          <w:lang w:val="en-ID" w:eastAsia="en-ID"/>
        </w:rPr>
      </w:pPr>
      <w:r w:rsidRPr="007B161D">
        <w:rPr>
          <w:rFonts w:ascii="Cambria" w:hAnsi="Cambria"/>
          <w:lang w:val="en-ID" w:eastAsia="en-ID"/>
        </w:rPr>
        <w:t xml:space="preserve">Furthermore, it has been demonstrated that involving students in sentence writing exercises in the classroom improves their vocabulary growth and comprehension as well as their knowledge of grammar and sentence structure. These kinds of exercises also help people develop their own writing styles so they can express themselves clearly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{"citationItems":[{"id":"ITEM-1","itemData":{"ISBN":"1949110819760","author":[{"dropping-particle":"","family":"Sunarti","given":"Rintik","non-dropping-particle":"","parse-names":false,"suffix":""}],"id":"ITEM-1","issued":{"date-parts":[["2019"]]},"page":"1","title":"Hubungan Antara Penguasaan Kosakata Dan Struktur Kalimat Dengan Kemampuan Menulis Karangan Narasi Siswa Kelas Iv Sd Muhammadiyah Program Khusus Rabbani Kecamatan Karanganom Kabupaten Klaten Tahun Pelajaran 2018/2019","type":"article-journal"},"uris":["http://www.mendeley.com/documents/?uuid=668e7ced-7af7-4bbc-a1be-3170456dc722"]},{"id":"ITEM-2","itemData":{"abstract":"… Pendekatan Berbasis Kompetensi (PBK) mendefinisikan tujuan pendidikan berdasarkan pengetahuan, keterampilan dan sikap yang tepat serta terukur sehingga pemelajar harus …","author":[{"dropping-particle":"","family":"Hendrawaty","given":"Nurmala","non-dropping-particle":"","parse-names":false,"suffix":""},{"dropping-particle":"","family":"Febriyanti","given":"Rina Husnaini","non-dropping-particle":"","parse-names":false,"suffix":""},{"dropping-particle":"","family":"Sundari","given":"Hanna","non-dropping-particle":"","parse-names":false,"suffix":""}],"container-title":"Faktor Jurnal Ilmiah Kependidikan","id":"ITEM-2","issue":"3","issued":{"date-parts":[["2018"]]},"page":"199-212","title":"Pengembangan Materi Ajar Berbasis Kompetensi Untuk Mata Kuliah Writing 1","type":"article-journal","volume":"5"},"uris":["http://www.mendeley.com/documents/?uuid=2c67505b-bd59-44f2-afc2-1f6f7253d5da"]}],"mendeley":{"formattedCitation":"(Hendrawaty et al., 2018; Sunarti, 2019)","plainTextFormattedCitation":"(Hendrawaty et al., 2018; Sunarti, 2019)","previouslyFormattedCitation":"(Hendrawaty et al., 2018; Sunarti, 2019)"},"properties":{"noteIndex":0},"schema":"https://github.com/citation-style-language/schema/raw/master/csl-citation.json"}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(Hendrawaty et al., 2018; Sunarti, 2019)</w:t>
      </w:r>
      <w:r w:rsidR="001E489B">
        <w:rPr>
          <w:rFonts w:ascii="Cambria" w:hAnsi="Cambria"/>
          <w:lang w:val="en-ID" w:eastAsia="en-ID"/>
        </w:rPr>
        <w:fldChar w:fldCharType="end"/>
      </w:r>
      <w:r w:rsidRPr="007B161D">
        <w:rPr>
          <w:rFonts w:ascii="Cambria" w:hAnsi="Cambria"/>
          <w:lang w:val="en-ID" w:eastAsia="en-ID"/>
        </w:rPr>
        <w:t xml:space="preserve">. Furthermore, these activities foster effective communication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{"citationItems":[{"id":"ITEM-1","itemData":{"author":[{"dropping-particle":"","family":"Sari","given":"R.","non-dropping-particle":"","parse-names":false,"suffix":""}],"container-title":"Jurnal Ilmu Sosial dan Humaniora, 5(2),","id":"ITEM-1","issue":"2","issued":{"date-parts":[["2020"]]},"page":"45–60","title":"Budaya dan tradisi masyarakat Toraja: Sebuah tinjauan.","type":"article-journal","volume":"5"},"uris":["http://www.mendeley.com/documents/?uuid=f7fdca8b-1f05-4560-b398-172ff8904695"]},{"id":"ITEM-2","itemData":{"DOI":"10.33487/edumaspul.v5i2.2036","ISSN":"2548-8201","abstract":"Abstract\r This research was motivated by the low skill of writing effective sentences in the third grade thematic learning at SDN 005 Padang Luas, Tambang District, Kampar Regency. One solution to overcome this problem is to apply themodel Think Talk Write. The purpose of this study was to improve effective sentence writing skills in third grade students of SDN 005 Padang Luas. This research method is classroom action research which is carried out in two cycles.The subjects of this research were class III students, totaling 17 students with 9 male students and 8 female students. Data collection techniques are tests, observations, documentation. The results of this study can be concluded that in the first cycle is classified as good with an average of 67.82, then out of 17 students only 8 students completed and classical completeness 47.05%. In cycle II it was very good with an average of 77.47 then from 17 students there were 14 students who completed and for classical completeness 82.35%. Thus, it can be concluded that the application of themodel Think Talk Write (TTW) can improve effective sentence writing skills in class III SDN 005 Padang Luas.\r  \r Keywords: Model Think Talk Write (TTW), writing skills, effective sentences, Elementary School Students\r  ","author":[{"dropping-particle":"","family":"Sari","given":"Erlina","non-dropping-particle":"","parse-names":false,"suffix":""},{"dropping-particle":"","family":"Aprinawati","given":"Iis","non-dropping-particle":"","parse-names":false,"suffix":""},{"dropping-particle":"","family":"Ananda","given":"Rizki","non-dropping-particle":"","parse-names":false,"suffix":""}],"container-title":"Edumaspul: Jurnal Pendidikan","id":"ITEM-2","issue":"2","issued":{"date-parts":[["2021"]]},"page":"250-262","title":"Penerapan Model Think Talk Write untuk Meningkatkan Keterampilan Menulis Kalimat Efektif Siswa Sekolah Dasar","type":"article-journal","volume":"5"},"uris":["http://www.mendeley.com/documents/?uuid=a17133ad-4aaa-4286-9bcf-d08254026db5"]}],"mendeley":{"formattedCitation":"(E. Sari et al., 2021; R. Sari, 2020)","plainTextFormattedCitation":"(E. Sari et al., 2021; R. Sari, 2020)","previouslyFormattedCitation":"(E. Sari et al., 2021; R. Sari, 2020)"},"properties":{"noteIndex":0},"schema":"https://github.com/citation-style-language/schema/raw/master/csl-citation.json"}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(E. Sari et al., 2021; R. Sari, 2020)</w:t>
      </w:r>
      <w:r w:rsidR="001E489B">
        <w:rPr>
          <w:rFonts w:ascii="Cambria" w:hAnsi="Cambria"/>
          <w:lang w:val="en-ID" w:eastAsia="en-ID"/>
        </w:rPr>
        <w:fldChar w:fldCharType="end"/>
      </w:r>
      <w:r w:rsidRPr="007B161D">
        <w:rPr>
          <w:rFonts w:ascii="Cambria" w:hAnsi="Cambria"/>
          <w:lang w:val="en-ID" w:eastAsia="en-ID"/>
        </w:rPr>
        <w:t xml:space="preserve">, the development of critical thinking abilities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{"citationItems":[{"id":"ITEM-1","itemData":{"abstract":"Language learni~g plays an important role in and has a significant influence on shaping the communication skills of students. Through language activities, students are taught to utiderstand the forms or rules of language;· lat1guage interaction and language skills. Based on observations in schools, pro~fl!~ in langt~_age skills are rooted in the poor literacy of reading and writing skills. As a result, s4tqep,ts in ge'?{!l(a! are-not able to perform multiple perspective, divergent thingking, and positive thingking to solve problems that they found In the current technology era, they tend to think instantly and practically in making decisions and taking actions. Embarking from these facts, this paper seeks to elaborate the use of critical thinking in reading and writing literacy to strengthen the national identity. The paper will elaborate four aspects related to it, critical thinking, critical thinking in reading, reading as a process prior to writing, critical thinking in writing literacy, and learning supportingfoctors.","author":[{"dropping-particle":"","family":"Pujiono","given":"S.","non-dropping-particle":"","parse-names":false,"suffix":""}],"container-title":"Prosiding Bahasa &amp; Sastra Indonesia","id":"ITEM-1","issued":{"date-parts":[["2012"]]},"page":"778-783","title":"Berpikir Kritis Dalam Literasi Membaca dan Menulis untuk Meningkatkan Jati Diri Bangsa","type":"article-journal"},"uris":["http://www.mendeley.com/documents/?uuid=8935fddf-e5e7-4828-b358-ca3b613dbe8e"]}],"mendeley":{"formattedCitation":"(Pujiono, 2012)","plainTextFormattedCitation":"(Pujiono, 2012)","previouslyFormattedCitation":"(Pujiono, 2012)"},"properties":{"noteIndex":0},"schema":"https://github.com/citation-style-language/schema/raw/master/csl-citation.json"}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(Pujiono, 2012)</w:t>
      </w:r>
      <w:r w:rsidR="001E489B">
        <w:rPr>
          <w:rFonts w:ascii="Cambria" w:hAnsi="Cambria"/>
          <w:lang w:val="en-ID" w:eastAsia="en-ID"/>
        </w:rPr>
        <w:fldChar w:fldCharType="end"/>
      </w:r>
      <w:r w:rsidRPr="007B161D">
        <w:rPr>
          <w:rFonts w:ascii="Cambria" w:hAnsi="Cambria"/>
          <w:lang w:val="en-ID" w:eastAsia="en-ID"/>
        </w:rPr>
        <w:t xml:space="preserve">, and reflective practices concerning students' comprehension of the English language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{"citationItems":[{"id":"ITEM-1","itemData":{"abstract":"This research occupied the transitivity system to analyze Donne’s and Blake’s poems, then specifically, it investigated each line containing mental and relation process. Elaborating the analysis, it as well applied descriptive analysis method. Fortunately, from six poems, the researcher identified thirty four lines indicating sixteen mental processes, and twenty three relational processes. It could be reported that two classifications of relational process were found; attributive and identifying relational process. Furthermore, the finding showed that there are some verbs usually used to indicate mental process, those are ‘love’, ‘honor’, ‘know’, ‘think’, ‘hear’, ‘see’, ‘repent’, ‘mind’, ‘want’, ‘fear’, and ‘dream’. Besides, there are four indications that are able to differentiate attributive relational process from identifying relational process; those are verbs (have and mean), articles (a/an, and the), adjectives (dead, tired, spent, young, bare, cold, joy, happy, and warm), and circumstance of place. Conducting this research, the researcher assumed that it could be an inspiration for other researchers to take more attention on such research since it combines linguistic and literary nuance. Key","author":[{"dropping-particle":"","family":"Rahmah","given":"Leiny","non-dropping-particle":"","parse-names":false,"suffix":""}],"container-title":"International Journal of English and Education","id":"ITEM-1","issue":"4","issued":{"date-parts":[["2017"]]},"page":"14","title":"Improving students' score in writing descriptive text through think talk write strategy","type":"article-journal","volume":"6"},"uris":["http://www.mendeley.com/documents/?uuid=3afe51d1-5324-47f1-b437-9de8ace751c0"]}],"mendeley":{"formattedCitation":"(Rahmah, 2017)","plainTextFormattedCitation":"(Rahmah, 2017)","previouslyFormattedCitation":"(Rahmah, 2017)"},"properties":{"noteIndex":0},"schema":"https://github.com/citation-style-language/schema/raw/master/csl-citation.json"}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(Rahmah, 2017)</w:t>
      </w:r>
      <w:r w:rsidR="001E489B">
        <w:rPr>
          <w:rFonts w:ascii="Cambria" w:hAnsi="Cambria"/>
          <w:lang w:val="en-ID" w:eastAsia="en-ID"/>
        </w:rPr>
        <w:fldChar w:fldCharType="end"/>
      </w:r>
      <w:r w:rsidRPr="007B161D">
        <w:rPr>
          <w:rFonts w:ascii="Cambria" w:hAnsi="Cambria"/>
          <w:lang w:val="en-ID" w:eastAsia="en-ID"/>
        </w:rPr>
        <w:t xml:space="preserve">. Additionally, students can improve the overall quality of their written work, clearly express their ideas, and methodically organize information through sentence writing exercises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{"citationItems":[{"id":"ITEM-1","itemData":{"abstract":"… Peningkatan keterampilan menulis cerita naratif melalui model Contextual Teaching and Learning mengalami peningkatan. Hal ini dibuktikan dengan nilai rata-rata siswa pra siklus …","author":[{"dropping-particle":"","family":"Zulfa","given":"A","non-dropping-particle":"","parse-names":false,"suffix":""}],"container-title":"Surabaya: UIN Sunan Ampel Surabaya","id":"ITEM-1","issued":{"date-parts":[["2018"]]},"title":"Peningkatan keterampilan menulis cerita naratif pada mata pelajaran Bahasa Indonesia melalui model Contextual Teaching and Learning siswa Kelas III MI Darun …","type":"article-journal"},"uris":["http://www.mendeley.com/documents/?uuid=1f0a187a-426c-4534-bca1-f8aa129d62fc"]},{"id":"ITEM-2","itemData":{"abstract":"Literasi informasi pertama kali ditemukan oleh pemimpin American Information Industry Association, Paul G. Zurkowski, pada tahun 1974 dalam proposalnya yang ditujukan kepada The National Commission on Libraries and Information Science (NCLIS) di Amerika Serikat. Paul Zurkowski menggunakan ungkapan tersebut untuk menggambarkan ―teknik dan kemampuan‖ yang dikenal dengan istilah literasi informasi, yaitu kemampuan untuk memanfaatkan berbagai alat informasi serta sumber informasi primer untuk memecahkan masalah mereka. Istilah literasi informasi selalu dikaitkan dengan computer literacy, library skills, dan critical thinking yang merupakan pendukung terhadap perkembangan literasi informasi. Literasi informasi adalah kemampuan dalam menemukan informasi yang dibutuhkan, mengerti bagaimana perpustakaan diorganisasi, familiar dengan sumber daya yang tersedia (termasuk format informasi dan alat penelusuran yang terautomasi), serta pengetahuan dari teknik yang biasa digunakan dalam pencarian informasi. Hal ini termasuk kemampuan yang diperlukan untuk mengevaluasi informasi dan menggunakannya secara efektif, seperti pemahaman infrastruktur teknologi pada transfer informasi kepada orang lain, termasuk konteks sosial, politik, dan budaya serta dampaknya. Literasi informasi adalah kemampuan yang dimiliki seseorang dalam mencari, menemukan, menganalisis, mengevaluasi, serta mengomunikasikan informasi yang berfungsi dalam memenuhi kebutuhan informasi yang akan memecahkan berbagai masalah.","author":[{"dropping-particle":"","family":"Septiyantono","given":"Tri","non-dropping-particle":"","parse-names":false,"suffix":""}],"id":"ITEM-2","issued":{"date-parts":[["2014"]]},"page":"1-77","title":"Konsep Dasar Literasi Informasi","type":"article-journal"},"uris":["http://www.mendeley.com/documents/?uuid=ee4f8ba4-c5ed-41b0-9f6b-e0bd85632ce1"]}],"mendeley":{"formattedCitation":"(Septiyantono, 2014; Zulfa, 2018)","plainTextFormattedCitation":"(Septiyantono, 2014; Zulfa, 2018)","previouslyFormattedCitation":"(Septiyantono, 2014; Zulfa, 2018)"},"properties":{"noteIndex":0},"schema":"https://github.com/citation-style-language/schema/raw/master/csl-citation.json"}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(Septiyantono, 2014; Zulfa, 2018)</w:t>
      </w:r>
      <w:r w:rsidR="001E489B">
        <w:rPr>
          <w:rFonts w:ascii="Cambria" w:hAnsi="Cambria"/>
          <w:lang w:val="en-ID" w:eastAsia="en-ID"/>
        </w:rPr>
        <w:fldChar w:fldCharType="end"/>
      </w:r>
      <w:r w:rsidRPr="007B161D">
        <w:rPr>
          <w:rFonts w:ascii="Cambria" w:hAnsi="Cambria"/>
          <w:lang w:val="en-ID" w:eastAsia="en-ID"/>
        </w:rPr>
        <w:t>.</w:t>
      </w:r>
    </w:p>
    <w:p w14:paraId="332C9163" w14:textId="36BFC458" w:rsidR="00735836" w:rsidRPr="00D10EF9" w:rsidRDefault="00126D4B" w:rsidP="006B081B">
      <w:pPr>
        <w:pStyle w:val="BodyText"/>
        <w:tabs>
          <w:tab w:val="left" w:pos="8647"/>
        </w:tabs>
        <w:spacing w:before="120" w:after="120"/>
        <w:ind w:left="160" w:firstLine="284"/>
        <w:jc w:val="both"/>
        <w:rPr>
          <w:rFonts w:ascii="Cambria" w:hAnsi="Cambria"/>
        </w:rPr>
      </w:pPr>
      <w:r w:rsidRPr="00126D4B">
        <w:rPr>
          <w:rFonts w:ascii="Cambria" w:hAnsi="Cambria"/>
          <w:lang w:val="en-ID" w:eastAsia="en-ID"/>
        </w:rPr>
        <w:t xml:space="preserve">However, preliminary observations of the learning process show that well-formed sentence construction remains a major challenge for students in UKI Toraja's English Education study program (PBI). These students usually have trouble understanding sentence structure, organizing ideas systematically, and using grammar and vocabulary correctly. Effective paragraphs are characterized as coherent groups of sentences based </w:t>
      </w:r>
      <w:r w:rsidR="00C123D4">
        <w:rPr>
          <w:rFonts w:ascii="Cambria" w:hAnsi="Cambria"/>
          <w:lang w:val="en-ID" w:eastAsia="en-ID"/>
        </w:rPr>
        <w:t>on</w:t>
      </w:r>
      <w:r w:rsidRPr="00126D4B">
        <w:rPr>
          <w:rFonts w:ascii="Cambria" w:hAnsi="Cambria"/>
          <w:lang w:val="en-ID" w:eastAsia="en-ID"/>
        </w:rPr>
        <w:t xml:space="preserve"> a single topic sentence or thesis statement. Prior research has shown that students frequently make mistakes when writing paragraphs </w:t>
      </w:r>
      <w:r w:rsidR="001E489B">
        <w:rPr>
          <w:rFonts w:ascii="Cambria" w:hAnsi="Cambria"/>
          <w:lang w:val="en-ID" w:eastAsia="en-ID"/>
        </w:rPr>
        <w:fldChar w:fldCharType="begin" w:fldLock="1"/>
      </w:r>
      <w:r w:rsidR="001E489B">
        <w:rPr>
          <w:rFonts w:ascii="Cambria" w:hAnsi="Cambria"/>
          <w:lang w:val="en-ID" w:eastAsia="en-ID"/>
        </w:rPr>
        <w:instrText>ADDIN CSL_CITATION {"citationItems":[{"id":"ITEM-1","itemData":{"DOI":"https://doi.org/10.47178/jkip.v6i3.433","abstract":"Paragraph is a part of essay. The paragraphs in the essay divided into three parts, they are introductory paragraph, body or supporting paragraph and concluding paragraph. In the introductory paragraph there is a thesis statement. Thesis statement is a main idea of the whole paragraph in body or supporting paragraph. Body or supporting paragraph contains at least one paragraph. The paragraph in body should support the thesis statement in the introductory paragraph. And the concluding paragraph is a paragraph that can retell the thesis statement by using another sentence. To make essay we need paragraph. Because, the paragraph in the essay consists of three parts that is why this research only focused on analyzing the body or supporting paragraphs of the essay written by the students of English department of FKIP UKI Toraja.","author":[{"dropping-particle":"","family":"Sallata","given":"Yizrel Nani","non-dropping-particle":"","parse-names":false,"suffix":""}],"container-title":"JKIP (Jurnal Keguruan dan Ilmu Pendidikan)","id":"ITEM-1","issue":"3","issued":{"date-parts":[["2018"]]},"page":"239–242","title":"Dominant Paragraph Errors Made By The Students In Writing Essay","type":"article-journal","volume":"6"},"uris":["http://www.mendeley.com/documents/?uuid=381b9923-fc68-44a1-bece-45ee5bfa5c84"]}],"mendeley":{"formattedCitation":"(Sallata, 2018)","plainTextFormattedCitation":"(Sallata, 2018)"},"properties":{"noteIndex":0},"schema":"https://github.com/citation-style-language/schema/raw/master/csl-citation.json"}</w:instrText>
      </w:r>
      <w:r w:rsidR="001E489B">
        <w:rPr>
          <w:rFonts w:ascii="Cambria" w:hAnsi="Cambria"/>
          <w:lang w:val="en-ID" w:eastAsia="en-ID"/>
        </w:rPr>
        <w:fldChar w:fldCharType="separate"/>
      </w:r>
      <w:r w:rsidR="001E489B" w:rsidRPr="001E489B">
        <w:rPr>
          <w:rFonts w:ascii="Cambria" w:hAnsi="Cambria"/>
          <w:noProof/>
          <w:lang w:val="en-ID" w:eastAsia="en-ID"/>
        </w:rPr>
        <w:t>(Sallata, 2018)</w:t>
      </w:r>
      <w:r w:rsidR="001E489B">
        <w:rPr>
          <w:rFonts w:ascii="Cambria" w:hAnsi="Cambria"/>
          <w:lang w:val="en-ID" w:eastAsia="en-ID"/>
        </w:rPr>
        <w:fldChar w:fldCharType="end"/>
      </w:r>
      <w:r w:rsidRPr="00126D4B">
        <w:rPr>
          <w:rFonts w:ascii="Cambria" w:hAnsi="Cambria"/>
          <w:lang w:val="en-ID" w:eastAsia="en-ID"/>
        </w:rPr>
        <w:t>. It is essential that students understand the basic rules of sentence construction in order to write accurate and cohesive paragraphs.</w:t>
      </w:r>
    </w:p>
    <w:p w14:paraId="5D3161A0" w14:textId="77777777" w:rsidR="00D10EF9" w:rsidRDefault="00D10EF9" w:rsidP="006B081B">
      <w:pPr>
        <w:pStyle w:val="BodyText"/>
        <w:tabs>
          <w:tab w:val="left" w:pos="8647"/>
        </w:tabs>
        <w:spacing w:before="120" w:after="120"/>
        <w:ind w:left="160" w:right="379" w:firstLine="284"/>
        <w:jc w:val="both"/>
        <w:rPr>
          <w:rFonts w:ascii="Cambria" w:hAnsi="Cambria"/>
        </w:rPr>
      </w:pPr>
    </w:p>
    <w:p w14:paraId="62D7D7C8" w14:textId="0D7DEE53" w:rsidR="00735836" w:rsidRDefault="00A83A48" w:rsidP="006B081B">
      <w:pPr>
        <w:pStyle w:val="BodyText"/>
        <w:tabs>
          <w:tab w:val="left" w:pos="8647"/>
        </w:tabs>
        <w:spacing w:before="120" w:after="120"/>
        <w:ind w:right="379"/>
        <w:jc w:val="both"/>
        <w:rPr>
          <w:rFonts w:ascii="Cambria" w:eastAsia="Cambria" w:hAnsi="Cambria" w:cs="Cambria"/>
          <w:b/>
          <w:sz w:val="34"/>
          <w:szCs w:val="34"/>
        </w:rPr>
      </w:pPr>
      <w:r>
        <w:rPr>
          <w:rFonts w:ascii="Cambria" w:eastAsia="Cambria" w:hAnsi="Cambria" w:cs="Cambria"/>
          <w:b/>
          <w:sz w:val="34"/>
          <w:szCs w:val="34"/>
        </w:rPr>
        <w:t>Method</w:t>
      </w:r>
    </w:p>
    <w:p w14:paraId="5C4A53F4" w14:textId="62D45DC5" w:rsidR="00735836" w:rsidRPr="00735836" w:rsidRDefault="00735836" w:rsidP="006B081B">
      <w:pPr>
        <w:widowControl/>
        <w:autoSpaceDE/>
        <w:autoSpaceDN/>
        <w:spacing w:before="120" w:after="120"/>
        <w:ind w:firstLine="284"/>
        <w:jc w:val="both"/>
        <w:rPr>
          <w:rFonts w:ascii="Cambria" w:hAnsi="Cambria"/>
          <w:sz w:val="24"/>
          <w:szCs w:val="24"/>
          <w:lang w:val="en-ID" w:eastAsia="en-ID"/>
        </w:rPr>
      </w:pPr>
      <w:r w:rsidRPr="00735836">
        <w:rPr>
          <w:rFonts w:ascii="Cambria" w:hAnsi="Cambria"/>
          <w:sz w:val="24"/>
          <w:szCs w:val="24"/>
          <w:lang w:val="en-ID" w:eastAsia="en-ID"/>
        </w:rPr>
        <w:lastRenderedPageBreak/>
        <w:t xml:space="preserve">This study employed quantitative descriptive analysis, a methodological approach that uses numerical data to describe a population's traits or </w:t>
      </w:r>
      <w:proofErr w:type="spellStart"/>
      <w:r w:rsidRPr="00735836">
        <w:rPr>
          <w:rFonts w:ascii="Cambria" w:hAnsi="Cambria"/>
          <w:sz w:val="24"/>
          <w:szCs w:val="24"/>
          <w:lang w:val="en-ID" w:eastAsia="en-ID"/>
        </w:rPr>
        <w:t>behaviors</w:t>
      </w:r>
      <w:proofErr w:type="spellEnd"/>
      <w:r w:rsidRPr="00735836">
        <w:rPr>
          <w:rFonts w:ascii="Cambria" w:hAnsi="Cambria"/>
          <w:sz w:val="24"/>
          <w:szCs w:val="24"/>
          <w:lang w:val="en-ID" w:eastAsia="en-ID"/>
        </w:rPr>
        <w:t>. In order to find patterns, trends, or relationships, this kind of research focuses on quantifying the data gathered through a variety of methods, including surveys, experiments, and observational studies.</w:t>
      </w:r>
      <w:r w:rsidR="00E61FB0">
        <w:rPr>
          <w:rFonts w:ascii="Cambria" w:hAnsi="Cambria"/>
          <w:sz w:val="24"/>
          <w:szCs w:val="24"/>
          <w:lang w:val="en-ID" w:eastAsia="en-ID"/>
        </w:rPr>
        <w:t xml:space="preserve"> The questionnaire was used within 15 items (X1-X15), from the frequency Never to always with </w:t>
      </w:r>
      <w:r w:rsidR="0089393D">
        <w:rPr>
          <w:rFonts w:ascii="Cambria" w:hAnsi="Cambria"/>
          <w:sz w:val="24"/>
          <w:szCs w:val="24"/>
          <w:lang w:val="en-ID" w:eastAsia="en-ID"/>
        </w:rPr>
        <w:t>a</w:t>
      </w:r>
      <w:r w:rsidR="00E61FB0">
        <w:rPr>
          <w:rFonts w:ascii="Cambria" w:hAnsi="Cambria"/>
          <w:sz w:val="24"/>
          <w:szCs w:val="24"/>
          <w:lang w:val="en-ID" w:eastAsia="en-ID"/>
        </w:rPr>
        <w:t xml:space="preserve"> score </w:t>
      </w:r>
      <w:r w:rsidR="0089393D">
        <w:rPr>
          <w:rFonts w:ascii="Cambria" w:hAnsi="Cambria"/>
          <w:sz w:val="24"/>
          <w:szCs w:val="24"/>
          <w:lang w:val="en-ID" w:eastAsia="en-ID"/>
        </w:rPr>
        <w:t xml:space="preserve">of </w:t>
      </w:r>
      <w:r w:rsidR="00E61FB0">
        <w:rPr>
          <w:rFonts w:ascii="Cambria" w:hAnsi="Cambria"/>
          <w:sz w:val="24"/>
          <w:szCs w:val="24"/>
          <w:lang w:val="en-ID" w:eastAsia="en-ID"/>
        </w:rPr>
        <w:t xml:space="preserve">1 to 5. </w:t>
      </w:r>
      <w:r w:rsidR="0089393D">
        <w:rPr>
          <w:rFonts w:ascii="Cambria" w:hAnsi="Cambria"/>
          <w:sz w:val="24"/>
          <w:szCs w:val="24"/>
          <w:lang w:val="en-ID" w:eastAsia="en-ID"/>
        </w:rPr>
        <w:t>Also, the participants were</w:t>
      </w:r>
      <w:r w:rsidR="00E61FB0">
        <w:rPr>
          <w:rFonts w:ascii="Cambria" w:hAnsi="Cambria"/>
          <w:sz w:val="24"/>
          <w:szCs w:val="24"/>
          <w:lang w:val="en-ID" w:eastAsia="en-ID"/>
        </w:rPr>
        <w:t xml:space="preserve"> 56 students of the English Education Study Program of UKI Toraja. To </w:t>
      </w:r>
      <w:proofErr w:type="spellStart"/>
      <w:r w:rsidR="00E61FB0">
        <w:rPr>
          <w:rFonts w:ascii="Cambria" w:hAnsi="Cambria"/>
          <w:sz w:val="24"/>
          <w:szCs w:val="24"/>
          <w:lang w:val="en-ID" w:eastAsia="en-ID"/>
        </w:rPr>
        <w:t>analyze</w:t>
      </w:r>
      <w:proofErr w:type="spellEnd"/>
      <w:r w:rsidR="00E61FB0">
        <w:rPr>
          <w:rFonts w:ascii="Cambria" w:hAnsi="Cambria"/>
          <w:sz w:val="24"/>
          <w:szCs w:val="24"/>
          <w:lang w:val="en-ID" w:eastAsia="en-ID"/>
        </w:rPr>
        <w:t xml:space="preserve"> the data the score was counted by taking the mean score and the percentage of each item. </w:t>
      </w:r>
    </w:p>
    <w:p w14:paraId="4D47931C" w14:textId="77777777" w:rsidR="00A83A48" w:rsidRPr="00735836" w:rsidRDefault="00A83A48" w:rsidP="006B081B">
      <w:pPr>
        <w:tabs>
          <w:tab w:val="left" w:pos="0"/>
        </w:tabs>
        <w:spacing w:before="120" w:after="120"/>
        <w:ind w:firstLine="284"/>
        <w:jc w:val="both"/>
        <w:rPr>
          <w:rFonts w:ascii="Cambria" w:hAnsi="Cambria"/>
          <w:lang w:val="en-US"/>
        </w:rPr>
      </w:pPr>
    </w:p>
    <w:p w14:paraId="041E74C0" w14:textId="77777777" w:rsidR="00A83A48" w:rsidRPr="00E61FB0" w:rsidRDefault="00E61FB0" w:rsidP="006B081B">
      <w:pPr>
        <w:tabs>
          <w:tab w:val="left" w:pos="3150"/>
        </w:tabs>
        <w:spacing w:before="120" w:after="120"/>
        <w:rPr>
          <w:rFonts w:ascii="Cambria" w:hAnsi="Cambria"/>
          <w:b/>
          <w:sz w:val="34"/>
          <w:szCs w:val="34"/>
        </w:rPr>
      </w:pPr>
      <w:r w:rsidRPr="00E61FB0">
        <w:rPr>
          <w:rFonts w:ascii="Cambria" w:hAnsi="Cambria"/>
          <w:b/>
          <w:sz w:val="34"/>
          <w:szCs w:val="34"/>
        </w:rPr>
        <w:t>Results</w:t>
      </w:r>
    </w:p>
    <w:p w14:paraId="0D7253C5" w14:textId="689CB80C" w:rsidR="0089393D" w:rsidRDefault="0089393D" w:rsidP="006B081B">
      <w:pPr>
        <w:tabs>
          <w:tab w:val="left" w:pos="709"/>
          <w:tab w:val="left" w:pos="3150"/>
        </w:tabs>
        <w:spacing w:before="120" w:after="120"/>
        <w:ind w:firstLine="284"/>
        <w:rPr>
          <w:rFonts w:ascii="Cambria" w:hAnsi="Cambria"/>
          <w:sz w:val="24"/>
          <w:szCs w:val="24"/>
        </w:rPr>
      </w:pPr>
      <w:r>
        <w:rPr>
          <w:rFonts w:ascii="Cambria" w:hAnsi="Cambria"/>
          <w:sz w:val="24"/>
          <w:szCs w:val="24"/>
        </w:rPr>
        <w:t xml:space="preserve">The findings are presented in the figure below and it was taken with a questionnaire and then analyzed by mean score and percentage of each item. </w:t>
      </w:r>
    </w:p>
    <w:p w14:paraId="69602A5F" w14:textId="77777777" w:rsidR="0089393D" w:rsidRPr="0089393D" w:rsidRDefault="0089393D" w:rsidP="006B081B">
      <w:pPr>
        <w:tabs>
          <w:tab w:val="left" w:pos="3150"/>
        </w:tabs>
        <w:spacing w:before="120" w:after="120"/>
        <w:ind w:firstLine="284"/>
        <w:rPr>
          <w:rFonts w:ascii="Cambria" w:hAnsi="Cambria"/>
          <w:sz w:val="24"/>
          <w:szCs w:val="24"/>
        </w:rPr>
      </w:pPr>
    </w:p>
    <w:p w14:paraId="04D8ADC9" w14:textId="6D1105AB" w:rsidR="00E61FB0" w:rsidRPr="00E61FB0" w:rsidRDefault="0089393D" w:rsidP="006B081B">
      <w:pPr>
        <w:tabs>
          <w:tab w:val="left" w:pos="3150"/>
        </w:tabs>
        <w:spacing w:before="120" w:after="120"/>
        <w:ind w:firstLine="284"/>
        <w:rPr>
          <w:rFonts w:ascii="Cambria" w:hAnsi="Cambria"/>
          <w:sz w:val="34"/>
          <w:szCs w:val="34"/>
        </w:rPr>
      </w:pPr>
      <w:r w:rsidRPr="0089393D">
        <w:rPr>
          <w:rFonts w:ascii="Cambria" w:hAnsi="Cambria"/>
          <w:noProof/>
          <w:sz w:val="34"/>
          <w:szCs w:val="34"/>
        </w:rPr>
        <w:lastRenderedPageBreak/>
        <w:drawing>
          <wp:anchor distT="0" distB="0" distL="114300" distR="114300" simplePos="0" relativeHeight="251658240" behindDoc="0" locked="0" layoutInCell="1" allowOverlap="1" wp14:anchorId="41134FD5" wp14:editId="20EF179A">
            <wp:simplePos x="0" y="0"/>
            <wp:positionH relativeFrom="column">
              <wp:posOffset>-2081</wp:posOffset>
            </wp:positionH>
            <wp:positionV relativeFrom="paragraph">
              <wp:posOffset>377</wp:posOffset>
            </wp:positionV>
            <wp:extent cx="8337852" cy="4533265"/>
            <wp:effectExtent l="0" t="0" r="6350" b="635"/>
            <wp:wrapSquare wrapText="bothSides"/>
            <wp:docPr id="899799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99384" name=""/>
                    <pic:cNvPicPr/>
                  </pic:nvPicPr>
                  <pic:blipFill rotWithShape="1">
                    <a:blip r:embed="rId7">
                      <a:extLst>
                        <a:ext uri="{28A0092B-C50C-407E-A947-70E740481C1C}">
                          <a14:useLocalDpi xmlns:a14="http://schemas.microsoft.com/office/drawing/2010/main" val="0"/>
                        </a:ext>
                      </a:extLst>
                    </a:blip>
                    <a:srcRect l="2589" t="4209" r="2030"/>
                    <a:stretch/>
                  </pic:blipFill>
                  <pic:spPr bwMode="auto">
                    <a:xfrm>
                      <a:off x="0" y="0"/>
                      <a:ext cx="8337852" cy="4533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607ED4" w14:textId="77777777" w:rsidR="0089393D" w:rsidRDefault="0089393D" w:rsidP="006B081B">
      <w:pPr>
        <w:tabs>
          <w:tab w:val="left" w:pos="3150"/>
        </w:tabs>
        <w:spacing w:before="120" w:after="120"/>
        <w:ind w:firstLine="284"/>
        <w:rPr>
          <w:rFonts w:ascii="Cambria" w:hAnsi="Cambria"/>
          <w:b/>
          <w:sz w:val="34"/>
          <w:szCs w:val="34"/>
        </w:rPr>
      </w:pPr>
    </w:p>
    <w:p w14:paraId="53FC1E9A" w14:textId="77777777" w:rsidR="0089393D" w:rsidRDefault="0089393D" w:rsidP="006B081B">
      <w:pPr>
        <w:tabs>
          <w:tab w:val="left" w:pos="3150"/>
        </w:tabs>
        <w:spacing w:before="120" w:after="120"/>
        <w:ind w:firstLine="284"/>
        <w:rPr>
          <w:rFonts w:ascii="Cambria" w:hAnsi="Cambria"/>
          <w:b/>
          <w:sz w:val="34"/>
          <w:szCs w:val="34"/>
        </w:rPr>
      </w:pPr>
    </w:p>
    <w:p w14:paraId="42237BC9" w14:textId="77777777" w:rsidR="0089393D" w:rsidRDefault="0089393D" w:rsidP="006B081B">
      <w:pPr>
        <w:tabs>
          <w:tab w:val="left" w:pos="3150"/>
        </w:tabs>
        <w:spacing w:before="120" w:after="120"/>
        <w:ind w:firstLine="284"/>
        <w:rPr>
          <w:rFonts w:ascii="Cambria" w:hAnsi="Cambria"/>
          <w:b/>
          <w:sz w:val="34"/>
          <w:szCs w:val="34"/>
        </w:rPr>
      </w:pPr>
    </w:p>
    <w:p w14:paraId="3D4A8B5B" w14:textId="77777777" w:rsidR="0089393D" w:rsidRDefault="0089393D" w:rsidP="006B081B">
      <w:pPr>
        <w:tabs>
          <w:tab w:val="left" w:pos="3150"/>
        </w:tabs>
        <w:spacing w:before="120" w:after="120"/>
        <w:ind w:firstLine="284"/>
        <w:rPr>
          <w:rFonts w:ascii="Cambria" w:hAnsi="Cambria"/>
          <w:b/>
          <w:sz w:val="34"/>
          <w:szCs w:val="34"/>
        </w:rPr>
      </w:pPr>
    </w:p>
    <w:p w14:paraId="3EC13F36" w14:textId="77777777" w:rsidR="0089393D" w:rsidRDefault="0089393D" w:rsidP="006B081B">
      <w:pPr>
        <w:tabs>
          <w:tab w:val="left" w:pos="3150"/>
        </w:tabs>
        <w:spacing w:before="120" w:after="120"/>
        <w:ind w:firstLine="284"/>
        <w:rPr>
          <w:rFonts w:ascii="Cambria" w:hAnsi="Cambria"/>
          <w:b/>
          <w:sz w:val="34"/>
          <w:szCs w:val="34"/>
        </w:rPr>
      </w:pPr>
    </w:p>
    <w:p w14:paraId="7E86EC24" w14:textId="77777777" w:rsidR="0089393D" w:rsidRDefault="0089393D" w:rsidP="006B081B">
      <w:pPr>
        <w:tabs>
          <w:tab w:val="left" w:pos="3150"/>
        </w:tabs>
        <w:spacing w:before="120" w:after="120"/>
        <w:ind w:firstLine="284"/>
        <w:rPr>
          <w:rFonts w:ascii="Cambria" w:hAnsi="Cambria"/>
          <w:b/>
          <w:sz w:val="34"/>
          <w:szCs w:val="34"/>
        </w:rPr>
      </w:pPr>
    </w:p>
    <w:p w14:paraId="3193F410" w14:textId="77777777" w:rsidR="0089393D" w:rsidRDefault="0089393D" w:rsidP="006B081B">
      <w:pPr>
        <w:tabs>
          <w:tab w:val="left" w:pos="3150"/>
        </w:tabs>
        <w:spacing w:before="120" w:after="120"/>
        <w:ind w:firstLine="284"/>
        <w:rPr>
          <w:rFonts w:ascii="Cambria" w:hAnsi="Cambria"/>
          <w:b/>
          <w:sz w:val="34"/>
          <w:szCs w:val="34"/>
        </w:rPr>
      </w:pPr>
    </w:p>
    <w:p w14:paraId="65C8C150" w14:textId="77777777" w:rsidR="0089393D" w:rsidRDefault="0089393D" w:rsidP="006B081B">
      <w:pPr>
        <w:tabs>
          <w:tab w:val="left" w:pos="3150"/>
        </w:tabs>
        <w:spacing w:before="120" w:after="120"/>
        <w:ind w:firstLine="284"/>
        <w:rPr>
          <w:rFonts w:ascii="Cambria" w:hAnsi="Cambria"/>
          <w:b/>
          <w:sz w:val="34"/>
          <w:szCs w:val="34"/>
        </w:rPr>
      </w:pPr>
    </w:p>
    <w:p w14:paraId="485F99AD" w14:textId="77777777" w:rsidR="0089393D" w:rsidRDefault="0089393D" w:rsidP="006B081B">
      <w:pPr>
        <w:tabs>
          <w:tab w:val="left" w:pos="3150"/>
        </w:tabs>
        <w:spacing w:before="120" w:after="120"/>
        <w:ind w:firstLine="284"/>
        <w:rPr>
          <w:rFonts w:ascii="Cambria" w:hAnsi="Cambria"/>
          <w:b/>
          <w:sz w:val="34"/>
          <w:szCs w:val="34"/>
        </w:rPr>
      </w:pPr>
    </w:p>
    <w:p w14:paraId="49E7069D" w14:textId="77777777" w:rsidR="0089393D" w:rsidRDefault="0089393D" w:rsidP="006B081B">
      <w:pPr>
        <w:tabs>
          <w:tab w:val="left" w:pos="3150"/>
        </w:tabs>
        <w:spacing w:before="120" w:after="120"/>
        <w:ind w:firstLine="284"/>
        <w:rPr>
          <w:rFonts w:ascii="Cambria" w:hAnsi="Cambria"/>
          <w:b/>
          <w:sz w:val="34"/>
          <w:szCs w:val="34"/>
        </w:rPr>
      </w:pPr>
    </w:p>
    <w:p w14:paraId="6FBE7ECB" w14:textId="77777777" w:rsidR="0089393D" w:rsidRDefault="0089393D" w:rsidP="006B081B">
      <w:pPr>
        <w:tabs>
          <w:tab w:val="left" w:pos="3150"/>
        </w:tabs>
        <w:spacing w:before="120" w:after="120"/>
        <w:ind w:firstLine="284"/>
        <w:rPr>
          <w:rFonts w:ascii="Cambria" w:hAnsi="Cambria"/>
          <w:b/>
          <w:sz w:val="34"/>
          <w:szCs w:val="34"/>
        </w:rPr>
      </w:pPr>
    </w:p>
    <w:p w14:paraId="48BB9F23" w14:textId="77777777" w:rsidR="0089393D" w:rsidRDefault="0089393D" w:rsidP="006B081B">
      <w:pPr>
        <w:tabs>
          <w:tab w:val="left" w:pos="3150"/>
        </w:tabs>
        <w:spacing w:before="120" w:after="120"/>
        <w:ind w:firstLine="284"/>
        <w:rPr>
          <w:rFonts w:ascii="Cambria" w:hAnsi="Cambria"/>
          <w:b/>
          <w:sz w:val="34"/>
          <w:szCs w:val="34"/>
        </w:rPr>
      </w:pPr>
    </w:p>
    <w:p w14:paraId="60F7A842" w14:textId="77777777" w:rsidR="0089393D" w:rsidRDefault="0089393D" w:rsidP="006B081B">
      <w:pPr>
        <w:tabs>
          <w:tab w:val="left" w:pos="3150"/>
        </w:tabs>
        <w:spacing w:before="120" w:after="120"/>
        <w:ind w:firstLine="284"/>
        <w:rPr>
          <w:rFonts w:ascii="Cambria" w:hAnsi="Cambria"/>
          <w:b/>
          <w:sz w:val="34"/>
          <w:szCs w:val="34"/>
        </w:rPr>
      </w:pPr>
    </w:p>
    <w:p w14:paraId="23E67560" w14:textId="77777777" w:rsidR="0089393D" w:rsidRDefault="0089393D" w:rsidP="006B081B">
      <w:pPr>
        <w:tabs>
          <w:tab w:val="left" w:pos="3150"/>
        </w:tabs>
        <w:spacing w:before="120" w:after="120"/>
        <w:ind w:firstLine="284"/>
        <w:rPr>
          <w:rFonts w:ascii="Cambria" w:hAnsi="Cambria"/>
          <w:b/>
          <w:sz w:val="34"/>
          <w:szCs w:val="34"/>
        </w:rPr>
      </w:pPr>
    </w:p>
    <w:p w14:paraId="1C2B7F78" w14:textId="77777777" w:rsidR="0089393D" w:rsidRDefault="0089393D" w:rsidP="006B081B">
      <w:pPr>
        <w:tabs>
          <w:tab w:val="left" w:pos="3150"/>
        </w:tabs>
        <w:spacing w:before="120" w:after="120"/>
        <w:ind w:firstLine="284"/>
        <w:rPr>
          <w:rFonts w:ascii="Cambria" w:hAnsi="Cambria"/>
          <w:b/>
          <w:sz w:val="34"/>
          <w:szCs w:val="34"/>
        </w:rPr>
      </w:pPr>
    </w:p>
    <w:p w14:paraId="0027020F" w14:textId="77777777" w:rsidR="0089393D" w:rsidRDefault="0089393D" w:rsidP="006B081B">
      <w:pPr>
        <w:tabs>
          <w:tab w:val="left" w:pos="3150"/>
        </w:tabs>
        <w:spacing w:before="120" w:after="120"/>
        <w:ind w:firstLine="284"/>
        <w:rPr>
          <w:rFonts w:ascii="Cambria" w:hAnsi="Cambria"/>
          <w:b/>
          <w:sz w:val="34"/>
          <w:szCs w:val="34"/>
        </w:rPr>
      </w:pPr>
    </w:p>
    <w:p w14:paraId="1003D904" w14:textId="77777777" w:rsidR="0089393D" w:rsidRDefault="0089393D" w:rsidP="006B081B">
      <w:pPr>
        <w:tabs>
          <w:tab w:val="left" w:pos="3150"/>
        </w:tabs>
        <w:spacing w:before="120" w:after="120"/>
        <w:ind w:firstLine="284"/>
        <w:rPr>
          <w:rFonts w:ascii="Cambria" w:hAnsi="Cambria"/>
          <w:b/>
          <w:sz w:val="34"/>
          <w:szCs w:val="34"/>
        </w:rPr>
      </w:pPr>
    </w:p>
    <w:p w14:paraId="543E96EF" w14:textId="3F4207BE" w:rsidR="0089393D" w:rsidRPr="0089393D" w:rsidRDefault="0089393D" w:rsidP="006B081B">
      <w:pPr>
        <w:spacing w:before="120" w:after="120"/>
        <w:ind w:firstLine="284"/>
        <w:jc w:val="both"/>
        <w:rPr>
          <w:rFonts w:ascii="Cambria" w:hAnsi="Cambria"/>
          <w:sz w:val="24"/>
          <w:szCs w:val="24"/>
        </w:rPr>
      </w:pPr>
      <w:r w:rsidRPr="0089393D">
        <w:rPr>
          <w:rFonts w:ascii="Cambria" w:hAnsi="Cambria"/>
          <w:sz w:val="24"/>
          <w:szCs w:val="24"/>
        </w:rPr>
        <w:lastRenderedPageBreak/>
        <w:t xml:space="preserve">The study investigating the integration of Toraja cultural elements in the </w:t>
      </w:r>
      <w:r>
        <w:rPr>
          <w:rFonts w:ascii="Cambria" w:hAnsi="Cambria"/>
          <w:sz w:val="24"/>
          <w:szCs w:val="24"/>
        </w:rPr>
        <w:t xml:space="preserve">sentence </w:t>
      </w:r>
      <w:r w:rsidRPr="0089393D">
        <w:rPr>
          <w:rFonts w:ascii="Cambria" w:hAnsi="Cambria"/>
          <w:sz w:val="24"/>
          <w:szCs w:val="24"/>
        </w:rPr>
        <w:t xml:space="preserve">writing of 56 participants from the English Education Study Program at UKI Toraja demonstrates significant incorporation of local cultural features, particularly traditional food and natural beauty. Traditional food received the highest mean score of 59, suggesting that students frequently engage with descriptions of flavors and cooking methods, which reflects a strong appreciation for Toraja's culinary heritage and fosters a connection to their culture through sensory experiences. Additionally, the natural landscapes were highly rated, with a mean score of 63, highlighting their importance as a source of inspiration for descriptive writing. This enduring focus on food and nature aligns with a broader trend in cultural narratives, where writers utilize their environmental context to enrich storytelling. In contrast, cultural expressions such as Londe/Pantun and the atmosphere of the Rambu Tuka’ ceremony were less frequently incorporated, with mean scores of 41 and 52, respectively. This suggests that while some respondents recognize the significance of these traditional forms, they may lack the confidence to include them in their narratives. The limited representation of the Rambu Tuka’ ceremony indicates a gap in familiarity, thereby presenting opportunities for educational enhancement. Promoting the exploration of these less utilized cultural elements could enrich student writing, leading to a more comprehensive portrayal of Toraja culture. </w:t>
      </w:r>
    </w:p>
    <w:p w14:paraId="10FB9C97" w14:textId="77777777" w:rsidR="0089393D" w:rsidRPr="0089393D" w:rsidRDefault="0089393D" w:rsidP="006B081B">
      <w:pPr>
        <w:tabs>
          <w:tab w:val="left" w:pos="3150"/>
        </w:tabs>
        <w:spacing w:before="120" w:after="120"/>
        <w:ind w:firstLine="284"/>
        <w:rPr>
          <w:rFonts w:ascii="Cambria" w:hAnsi="Cambria"/>
          <w:b/>
          <w:sz w:val="24"/>
          <w:szCs w:val="24"/>
        </w:rPr>
      </w:pPr>
    </w:p>
    <w:p w14:paraId="3EB24C7E" w14:textId="6FD0F7D9" w:rsidR="00E61FB0" w:rsidRDefault="00E61FB0" w:rsidP="006B081B">
      <w:pPr>
        <w:tabs>
          <w:tab w:val="left" w:pos="3150"/>
        </w:tabs>
        <w:spacing w:before="120" w:after="120"/>
        <w:rPr>
          <w:rFonts w:ascii="Cambria" w:hAnsi="Cambria"/>
          <w:b/>
          <w:sz w:val="34"/>
          <w:szCs w:val="34"/>
        </w:rPr>
      </w:pPr>
      <w:r w:rsidRPr="00E61FB0">
        <w:rPr>
          <w:rFonts w:ascii="Cambria" w:hAnsi="Cambria"/>
          <w:b/>
          <w:sz w:val="34"/>
          <w:szCs w:val="34"/>
        </w:rPr>
        <w:t>Discussion</w:t>
      </w:r>
    </w:p>
    <w:p w14:paraId="7E99B7C1" w14:textId="09E6FFC5" w:rsidR="0089393D" w:rsidRDefault="0089393D" w:rsidP="006B081B">
      <w:pPr>
        <w:spacing w:before="120" w:after="120"/>
        <w:ind w:firstLine="284"/>
        <w:jc w:val="both"/>
        <w:rPr>
          <w:rFonts w:ascii="Cambria" w:hAnsi="Cambria"/>
          <w:sz w:val="24"/>
          <w:szCs w:val="24"/>
        </w:rPr>
      </w:pPr>
      <w:r w:rsidRPr="0089393D">
        <w:rPr>
          <w:rFonts w:ascii="Cambria" w:hAnsi="Cambria"/>
          <w:sz w:val="24"/>
          <w:szCs w:val="24"/>
        </w:rPr>
        <w:t xml:space="preserve">The findings from the study on the integration of Toraja cultural elements in the </w:t>
      </w:r>
      <w:r w:rsidR="00D31C7C">
        <w:rPr>
          <w:rFonts w:ascii="Cambria" w:hAnsi="Cambria"/>
          <w:sz w:val="24"/>
          <w:szCs w:val="24"/>
        </w:rPr>
        <w:t xml:space="preserve">sentence </w:t>
      </w:r>
      <w:r w:rsidRPr="0089393D">
        <w:rPr>
          <w:rFonts w:ascii="Cambria" w:hAnsi="Cambria"/>
          <w:sz w:val="24"/>
          <w:szCs w:val="24"/>
        </w:rPr>
        <w:t xml:space="preserve">writing of 56 participants from the English Education Study Program at UKI Toraja reveal a notable engagement with local cultural aspects, particularly traditional food and natural beauty. Traditional food received the highest mean score of 59, indicating that students frequently describe flavors and cooking methods in their writing. This strong emphasis on culinary heritage suggests a deep appreciation for Toraja's rich food culture, enabling students to connect with their identity through sensory experiences. Research supports the idea that food can serve as a powerful medium for cultural expression, enriching narratives and fostering a sense of belonging </w:t>
      </w:r>
      <w:r w:rsidRPr="0089393D">
        <w:rPr>
          <w:rFonts w:ascii="Cambria" w:hAnsi="Cambria"/>
          <w:sz w:val="24"/>
          <w:szCs w:val="24"/>
        </w:rPr>
        <w:fldChar w:fldCharType="begin" w:fldLock="1"/>
      </w:r>
      <w:r w:rsidR="001E489B">
        <w:rPr>
          <w:rFonts w:ascii="Cambria" w:hAnsi="Cambria"/>
          <w:sz w:val="24"/>
          <w:szCs w:val="24"/>
        </w:rPr>
        <w:instrText>ADDIN CSL_CITATION {"citationItems":[{"id":"ITEM-1","itemData":{"author":[{"dropping-particle":"","family":"Henderson","given":"J.","non-dropping-particle":"","parse-names":false,"suffix":""}],"container-title":". Journal of Cultural Studies,","id":"ITEM-1","issue":"3","issued":{"date-parts":[["2018"]]},"page":"45-60","title":"Culinary Heritage and Cultural Identity: The Role of Food in Cultural Narratives","type":"article-journal","volume":"12"},"uris":["http://www.mendeley.com/documents/?uuid=e5a8147b-9210-4af1-b2c0-6d13dd197f91"]},{"id":"ITEM-2","itemData":{"author":[{"dropping-particle":"","family":"Sari","given":"R.","non-dropping-particle":"","parse-names":false,"suffix":""}],"container-title":"Journal of Southeast Asian Studies","id":"ITEM-2","issue":"1","issued":{"date-parts":[["2022"]]},"page":"78-90","title":"Ceremonial Practices and Their Representation in Literature: Insights from Toraja Culture","type":"article-journal","volume":"18"},"uris":["http://www.mendeley.com/documents/?uuid=6af3e77f-978a-41ce-af80-21d18ef90708"]},{"id":"ITEM-3","itemData":{"author":[{"dropping-particle":"","family":"Siumarlata","given":"Viktor","non-dropping-particle":"","parse-names":false,"suffix":""},{"dropping-particle":"","family":"Ratu Tandi Arrang","given":"Judith","non-dropping-particle":"","parse-names":false,"suffix":""}],"id":"ITEM-3","issue":"2","issued":{"date-parts":[["2023"]]},"page":"1035-1043","title":"Local Culture Topics For Prewriting and Drafting in Teaching Essay Writing at English Department UKI Toraja","type":"article-journal","volume":"9"},"uris":["http://www.mendeley.com/documents/?uuid=3e8c42bb-33f3-47c8-827a-81b807ee7653"]}],"mendeley":{"formattedCitation":"(Henderson, 2018; R. Sari, 2022; Siumarlata &amp; Ratu Tandi Arrang, 2023)","plainTextFormattedCitation":"(Henderson, 2018; R. Sari, 2022; Siumarlata &amp; Ratu Tandi Arrang, 2023)","previouslyFormattedCitation":"(Henderson, 2018; R. Sari, 2022; Siumarlata &amp; Ratu Tandi Arrang, 2023)"},"properties":{"noteIndex":0},"schema":"https://github.com/citation-style-language/schema/raw/master/csl-citation.json"}</w:instrText>
      </w:r>
      <w:r w:rsidRPr="0089393D">
        <w:rPr>
          <w:rFonts w:ascii="Cambria" w:hAnsi="Cambria"/>
          <w:sz w:val="24"/>
          <w:szCs w:val="24"/>
        </w:rPr>
        <w:fldChar w:fldCharType="separate"/>
      </w:r>
      <w:r w:rsidR="001E489B" w:rsidRPr="001E489B">
        <w:rPr>
          <w:rFonts w:ascii="Cambria" w:hAnsi="Cambria"/>
          <w:noProof/>
          <w:sz w:val="24"/>
          <w:szCs w:val="24"/>
        </w:rPr>
        <w:t>(Henderson, 2018; R. Sari, 2022; Siumarlata &amp; Ratu Tandi Arrang, 2023)</w:t>
      </w:r>
      <w:r w:rsidRPr="0089393D">
        <w:rPr>
          <w:rFonts w:ascii="Cambria" w:hAnsi="Cambria"/>
          <w:sz w:val="24"/>
          <w:szCs w:val="24"/>
        </w:rPr>
        <w:fldChar w:fldCharType="end"/>
      </w:r>
      <w:r w:rsidRPr="0089393D">
        <w:rPr>
          <w:rFonts w:ascii="Cambria" w:hAnsi="Cambria"/>
          <w:sz w:val="24"/>
          <w:szCs w:val="24"/>
        </w:rPr>
        <w:t xml:space="preserve"> Moreover, the high mean score of 63 for the natural landscapes signifies their role as a significant source of inspiration for descriptive writing, reflecting a broader trend in cultural narratives where writers draw upon their surroundings to enhance storytelling </w:t>
      </w:r>
      <w:r w:rsidRPr="0089393D">
        <w:rPr>
          <w:rFonts w:ascii="Cambria" w:hAnsi="Cambria"/>
          <w:sz w:val="24"/>
          <w:szCs w:val="24"/>
        </w:rPr>
        <w:fldChar w:fldCharType="begin" w:fldLock="1"/>
      </w:r>
      <w:r w:rsidRPr="0089393D">
        <w:rPr>
          <w:rFonts w:ascii="Cambria" w:hAnsi="Cambria"/>
          <w:sz w:val="24"/>
          <w:szCs w:val="24"/>
        </w:rPr>
        <w:instrText>ADDIN CSL_CITATION {"citationItems":[{"id":"ITEM-1","itemData":{"author":[{"dropping-particle":"","family":"Mason, P., &amp; Cheyne","given":"J.","non-dropping-particle":"","parse-names":false,"suffix":""}],"container-title":"International Journal of Tourism Research","id":"ITEM-1","issue":"4","issued":{"date-parts":[["2019"]]},"page":"567-578","title":"Tourism and Cultural Identity: The Importance of Place in Narrative Writing","type":"article-journal","volume":"21"},"uris":["http://www.mendeley.com/documents/?uuid=29b3e790-62ec-4b42-8243-9f829be0d4b5"]},{"id":"ITEM-2","itemData":{"author":[{"dropping-particle":"","family":"Yulianti","given":"D.","non-dropping-particle":"","parse-names":false,"suffix":""}],"container-title":"Journal of Educational Research","id":"ITEM-2","issue":"1","issued":{"date-parts":[["2023"]]},"page":"22-35","title":"The Influence of Cultural Elements on Narrative Writing: A Study of Toraja Folklore.","type":"article-journal","volume":"29"},"uris":["http://www.mendeley.com/documents/?uuid=f9cbe33b-4b9c-4692-a5aa-ea22010e1a9b"]}],"mendeley":{"formattedCitation":"(Mason, P., &amp; Cheyne, 2019; Yulianti, 2023)","plainTextFormattedCitation":"(Mason, P., &amp; Cheyne, 2019; Yulianti, 2023)","previouslyFormattedCitation":"(Mason, P., &amp; Cheyne, 2019; Yulianti, 2023)"},"properties":{"noteIndex":0},"schema":"https://github.com/citation-style-language/schema/raw/master/csl-citation.json"}</w:instrText>
      </w:r>
      <w:r w:rsidRPr="0089393D">
        <w:rPr>
          <w:rFonts w:ascii="Cambria" w:hAnsi="Cambria"/>
          <w:sz w:val="24"/>
          <w:szCs w:val="24"/>
        </w:rPr>
        <w:fldChar w:fldCharType="separate"/>
      </w:r>
      <w:r w:rsidRPr="0089393D">
        <w:rPr>
          <w:rFonts w:ascii="Cambria" w:hAnsi="Cambria"/>
          <w:noProof/>
          <w:sz w:val="24"/>
          <w:szCs w:val="24"/>
        </w:rPr>
        <w:t>(Mason, P., &amp; Cheyne, 2019; Yulianti, 2023)</w:t>
      </w:r>
      <w:r w:rsidRPr="0089393D">
        <w:rPr>
          <w:rFonts w:ascii="Cambria" w:hAnsi="Cambria"/>
          <w:sz w:val="24"/>
          <w:szCs w:val="24"/>
        </w:rPr>
        <w:fldChar w:fldCharType="end"/>
      </w:r>
      <w:r>
        <w:rPr>
          <w:rFonts w:ascii="Cambria" w:hAnsi="Cambria"/>
          <w:sz w:val="24"/>
          <w:szCs w:val="24"/>
        </w:rPr>
        <w:t>.</w:t>
      </w:r>
    </w:p>
    <w:p w14:paraId="2D5DF50D" w14:textId="77777777" w:rsidR="0089393D" w:rsidRPr="0089393D" w:rsidRDefault="0089393D" w:rsidP="006B081B">
      <w:pPr>
        <w:spacing w:before="120" w:after="120"/>
        <w:ind w:firstLine="284"/>
        <w:jc w:val="both"/>
        <w:rPr>
          <w:rFonts w:ascii="Cambria" w:hAnsi="Cambria"/>
          <w:sz w:val="24"/>
          <w:szCs w:val="24"/>
        </w:rPr>
      </w:pPr>
    </w:p>
    <w:p w14:paraId="6A2B5ED9" w14:textId="274B9FE1" w:rsidR="0089393D" w:rsidRPr="0089393D" w:rsidRDefault="0089393D" w:rsidP="006B081B">
      <w:pPr>
        <w:spacing w:before="120" w:after="120"/>
        <w:ind w:firstLine="284"/>
        <w:jc w:val="both"/>
        <w:rPr>
          <w:rFonts w:ascii="Cambria" w:hAnsi="Cambria"/>
          <w:sz w:val="24"/>
          <w:szCs w:val="24"/>
        </w:rPr>
      </w:pPr>
      <w:r w:rsidRPr="0089393D">
        <w:rPr>
          <w:rFonts w:ascii="Cambria" w:hAnsi="Cambria"/>
          <w:sz w:val="24"/>
          <w:szCs w:val="24"/>
        </w:rPr>
        <w:t xml:space="preserve">In contrast, the study identified cultural expressions such as Londe/Pantun and the atmosphere of the Rambu Tuka’ ceremony as less frequently incorporated, with mean scores of 41 and 52, respectively. This suggests that while some respondents value these traditional forms, they may lack the confidence or familiarity to integrate them into their narratives effectively. The underrepresentation of the Rambu Tuka’ ceremony, which is rich in cultural significance, indicates a gap in exposure and understanding, presenting opportunities for educational enhancement </w:t>
      </w:r>
      <w:r w:rsidRPr="0089393D">
        <w:rPr>
          <w:rFonts w:ascii="Cambria" w:hAnsi="Cambria"/>
          <w:sz w:val="24"/>
          <w:szCs w:val="24"/>
        </w:rPr>
        <w:fldChar w:fldCharType="begin" w:fldLock="1"/>
      </w:r>
      <w:r w:rsidRPr="0089393D">
        <w:rPr>
          <w:rFonts w:ascii="Cambria" w:hAnsi="Cambria"/>
          <w:sz w:val="24"/>
          <w:szCs w:val="24"/>
        </w:rPr>
        <w:instrText>ADDIN CSL_CITATION {"citationItems":[{"id":"ITEM-1","itemData":{"author":[{"dropping-particle":"","family":"Rizal","given":"M.","non-dropping-particle":"","parse-names":false,"suffix":""}],"container-title":"Journal of Indonesian Literature","id":"ITEM-1","issue":"2","issued":{"date-parts":[["2021"]]},"page":"112-125","title":"Exploring Traditional Poetry in Contemporary Writing: The Case of Londe and Pantun","type":"article-journal","volume":"15"},"uris":["http://www.mendeley.com/documents/?uuid=d0a7e4f3-5428-4378-9f34-14e33fdcb714"]},{"id":"ITEM-2","itemData":{"author":[{"dropping-particle":"","family":"Suharto","given":"A","non-dropping-particle":"","parse-names":false,"suffix":""}],"container-title":"Journal of Language and Culture","id":"ITEM-2","issue":"2","issued":{"date-parts":[["2020"]]},"page":"34-50","title":"Cultural Symbols in Writing: The Role of Traditional Clothing and Proverbs in Indonesian Literature","type":"article-journal","volume":"14"},"uris":["http://www.mendeley.com/documents/?uuid=d1083a35-99da-48c9-9107-f21eed061d21"]},{"id":"ITEM-3","itemData":{"author":[{"dropping-particle":"","family":"Siumarlata","given":"Viktor","non-dropping-particle":"","parse-names":false,"suffix":""},{"dropping-particle":"","family":"Ratu Tandi Arrang","given":"Judith","non-dropping-particle":"","parse-names":false,"suffix":""}],"id":"ITEM-3","issue":"2","issued":{"date-parts":[["2023"]]},"page":"1035-1043","title":"Local Culture Topics For Prewriting and Drafting in Teaching Essay Writing at English Department UKI Toraja","type":"article-journal","volume":"9"},"uris":["http://www.mendeley.com/documents/?uuid=3e8c42bb-33f3-47c8-827a-81b807ee7653"]}],"mendeley":{"formattedCitation":"(Rizal, 2021; Siumarlata &amp; Ratu Tandi Arrang, 2023; Suharto, 2020)","plainTextFormattedCitation":"(Rizal, 2021; Siumarlata &amp; Ratu Tandi Arrang, 2023; Suharto, 2020)","previouslyFormattedCitation":"(Rizal, 2021; Siumarlata &amp; Ratu Tandi Arrang, 2023; Suharto, 2020)"},"properties":{"noteIndex":0},"schema":"https://github.com/citation-style-language/schema/raw/master/csl-citation.json"}</w:instrText>
      </w:r>
      <w:r w:rsidRPr="0089393D">
        <w:rPr>
          <w:rFonts w:ascii="Cambria" w:hAnsi="Cambria"/>
          <w:sz w:val="24"/>
          <w:szCs w:val="24"/>
        </w:rPr>
        <w:fldChar w:fldCharType="separate"/>
      </w:r>
      <w:r w:rsidRPr="0089393D">
        <w:rPr>
          <w:rFonts w:ascii="Cambria" w:hAnsi="Cambria"/>
          <w:noProof/>
          <w:sz w:val="24"/>
          <w:szCs w:val="24"/>
        </w:rPr>
        <w:t>(Rizal, 2021; Siumarlata &amp; Ratu Tandi Arrang, 2023; Suharto, 2020)</w:t>
      </w:r>
      <w:r w:rsidRPr="0089393D">
        <w:rPr>
          <w:rFonts w:ascii="Cambria" w:hAnsi="Cambria"/>
          <w:sz w:val="24"/>
          <w:szCs w:val="24"/>
        </w:rPr>
        <w:fldChar w:fldCharType="end"/>
      </w:r>
      <w:r w:rsidRPr="0089393D">
        <w:rPr>
          <w:rFonts w:ascii="Cambria" w:hAnsi="Cambria"/>
          <w:sz w:val="24"/>
          <w:szCs w:val="24"/>
        </w:rPr>
        <w:t xml:space="preserve">. Encouraging students to explore these less frequently utilized cultural elements could deepen their writing and contribute to a more nuanced portrayal of Toraja culture </w:t>
      </w:r>
      <w:r w:rsidRPr="0089393D">
        <w:rPr>
          <w:rFonts w:ascii="Cambria" w:hAnsi="Cambria"/>
          <w:sz w:val="24"/>
          <w:szCs w:val="24"/>
        </w:rPr>
        <w:fldChar w:fldCharType="begin" w:fldLock="1"/>
      </w:r>
      <w:r w:rsidRPr="0089393D">
        <w:rPr>
          <w:rFonts w:ascii="Cambria" w:hAnsi="Cambria"/>
          <w:sz w:val="24"/>
          <w:szCs w:val="24"/>
        </w:rPr>
        <w:instrText>ADDIN CSL_CITATION {"citationItems":[{"id":"ITEM-1","itemData":{"author":[{"dropping-particle":"","family":"Tan","given":"L.","non-dropping-particle":"","parse-names":false,"suffix":""}],"container-title":". Asian Literary Studies","id":"ITEM-1","issue":"2","issued":{"date-parts":[["2019"]]},"page":"101-115","title":"Nature and Identity in Southeast Asian Literature: A Study of Environmental Themes","type":"article-journal","volume":"5"},"uris":["http://www.mendeley.com/documents/?uuid=3268becb-5bee-474b-99ae-d142dc790335"]},{"id":"ITEM-2","itemData":{"author":[{"dropping-particle":"","family":"Siumarlata","given":"Viktor","non-dropping-particle":"","parse-names":false,"suffix":""},{"dropping-particle":"","family":"Ratu Tandi Arrang","given":"Judith","non-dropping-particle":"","parse-names":false,"suffix":""}],"id":"ITEM-2","issue":"2","issued":{"date-parts":[["2023"]]},"page":"1035-1043","title":"Local Culture Topics For Prewriting and Drafting in Teaching Essay Writing at English Department UKI Toraja","type":"article-journal","volume":"9"},"uris":["http://www.mendeley.com/documents/?uuid=3e8c42bb-33f3-47c8-827a-81b807ee7653"]}],"mendeley":{"formattedCitation":"(Siumarlata &amp; Ratu Tandi Arrang, 2023; Tan, 2019)","plainTextFormattedCitation":"(Siumarlata &amp; Ratu Tandi Arrang, 2023; Tan, 2019)","previouslyFormattedCitation":"(Siumarlata &amp; Ratu Tandi Arrang, 2023; Tan, 2019)"},"properties":{"noteIndex":0},"schema":"https://github.com/citation-style-language/schema/raw/master/csl-citation.json"}</w:instrText>
      </w:r>
      <w:r w:rsidRPr="0089393D">
        <w:rPr>
          <w:rFonts w:ascii="Cambria" w:hAnsi="Cambria"/>
          <w:sz w:val="24"/>
          <w:szCs w:val="24"/>
        </w:rPr>
        <w:fldChar w:fldCharType="separate"/>
      </w:r>
      <w:r w:rsidRPr="0089393D">
        <w:rPr>
          <w:rFonts w:ascii="Cambria" w:hAnsi="Cambria"/>
          <w:noProof/>
          <w:sz w:val="24"/>
          <w:szCs w:val="24"/>
        </w:rPr>
        <w:t>(Siumarlata &amp; Ratu Tandi Arrang, 2023; Tan, 2019)</w:t>
      </w:r>
      <w:r w:rsidRPr="0089393D">
        <w:rPr>
          <w:rFonts w:ascii="Cambria" w:hAnsi="Cambria"/>
          <w:sz w:val="24"/>
          <w:szCs w:val="24"/>
        </w:rPr>
        <w:fldChar w:fldCharType="end"/>
      </w:r>
      <w:r w:rsidRPr="0089393D">
        <w:rPr>
          <w:rFonts w:ascii="Cambria" w:hAnsi="Cambria"/>
          <w:sz w:val="24"/>
          <w:szCs w:val="24"/>
        </w:rPr>
        <w:t xml:space="preserve">. Integrating these elements into writing curricula can help foster a greater </w:t>
      </w:r>
      <w:r w:rsidRPr="0089393D">
        <w:rPr>
          <w:rFonts w:ascii="Cambria" w:hAnsi="Cambria"/>
          <w:sz w:val="24"/>
          <w:szCs w:val="24"/>
        </w:rPr>
        <w:lastRenderedPageBreak/>
        <w:t xml:space="preserve">appreciation for cultural heritage and promote a more comprehensive understanding of the diverse expressions within Toraja's cultural landscape </w:t>
      </w:r>
      <w:r w:rsidRPr="0089393D">
        <w:rPr>
          <w:rFonts w:ascii="Cambria" w:hAnsi="Cambria"/>
          <w:sz w:val="24"/>
          <w:szCs w:val="24"/>
        </w:rPr>
        <w:fldChar w:fldCharType="begin" w:fldLock="1"/>
      </w:r>
      <w:r w:rsidR="006B081B">
        <w:rPr>
          <w:rFonts w:ascii="Cambria" w:hAnsi="Cambria"/>
          <w:sz w:val="24"/>
          <w:szCs w:val="24"/>
        </w:rPr>
        <w:instrText>ADDIN CSL_CITATION {"citationItems":[{"id":"ITEM-1","itemData":{"author":[{"dropping-particle":"","family":"Kurniawan","given":"B","non-dropping-particle":"","parse-names":false,"suffix":""}],"container-title":"Journal of Cultural Heritage Management and Sustainable Development,","id":"ITEM-1","issue":"3","issued":{"date-parts":[["2021"]]},"page":"245-260","title":"The Impact of Cultural Heritage on Modern Writing Practices in Indonesia","type":"article-journal","volume":"11"},"uris":["http://www.mendeley.com/documents/?uuid=7ee242e5-4782-4873-9d2e-7adc6a9bac1b"]},{"id":"ITEM-2","itemData":{"author":[{"dropping-particle":"","family":"Prasetyo","given":"E","non-dropping-particle":"","parse-names":false,"suffix":""}],"container-title":"Journal of Southeast Asian Cultural Studies","id":"ITEM-2","issue":"4","issued":{"date-parts":[["2022"]]},"page":"88-102","title":"Understanding the Significance of Traditional Ceremonies in Indonesian Literature","type":"article-journal","volume":"16"},"uris":["http://www.mendeley.com/documents/?uuid=813ec44c-dc15-406d-9083-ca25bcc06aa8"]},{"id":"ITEM-3","itemData":{"author":[{"dropping-particle":"","family":"Siumarlata","given":"Viktor","non-dropping-particle":"","parse-names":false,"suffix":""},{"dropping-particle":"","family":"Ratu Tandi Arrang","given":"Judith","non-dropping-particle":"","parse-names":false,"suffix":""}],"id":"ITEM-3","issue":"2","issued":{"date-parts":[["2023"]]},"page":"1035-1043","title":"Local Culture Topics For Prewriting and Drafting in Teaching Essay Writing at English Department UKI Toraja","type":"article-journal","volume":"9"},"uris":["http://www.mendeley.com/documents/?uuid=3e8c42bb-33f3-47c8-827a-81b807ee7653"]}],"mendeley":{"formattedCitation":"(Kurniawan, 2021; Prasetyo, 2022; Siumarlata &amp; Ratu Tandi Arrang, 2023)","plainTextFormattedCitation":"(Kurniawan, 2021; Prasetyo, 2022; Siumarlata &amp; Ratu Tandi Arrang, 2023)","previouslyFormattedCitation":"(Kurniawan, 2021; Prasetyo, 2022; Siumarlata &amp; Ratu Tandi Arrang, 2023)"},"properties":{"noteIndex":0},"schema":"https://github.com/citation-style-language/schema/raw/master/csl-citation.json"}</w:instrText>
      </w:r>
      <w:r w:rsidRPr="0089393D">
        <w:rPr>
          <w:rFonts w:ascii="Cambria" w:hAnsi="Cambria"/>
          <w:sz w:val="24"/>
          <w:szCs w:val="24"/>
        </w:rPr>
        <w:fldChar w:fldCharType="separate"/>
      </w:r>
      <w:r w:rsidRPr="0089393D">
        <w:rPr>
          <w:rFonts w:ascii="Cambria" w:hAnsi="Cambria"/>
          <w:noProof/>
          <w:sz w:val="24"/>
          <w:szCs w:val="24"/>
        </w:rPr>
        <w:t>(Kurniawan, 2021; Prasetyo, 2022; Siumarlata &amp; Ratu Tandi Arrang, 2023)</w:t>
      </w:r>
      <w:r w:rsidRPr="0089393D">
        <w:rPr>
          <w:rFonts w:ascii="Cambria" w:hAnsi="Cambria"/>
          <w:sz w:val="24"/>
          <w:szCs w:val="24"/>
        </w:rPr>
        <w:fldChar w:fldCharType="end"/>
      </w:r>
      <w:r w:rsidRPr="0089393D">
        <w:rPr>
          <w:rFonts w:ascii="Cambria" w:hAnsi="Cambria"/>
          <w:sz w:val="24"/>
          <w:szCs w:val="24"/>
        </w:rPr>
        <w:t>. Ultimately, expanding the range of cultural expressions represented in student writing will enrich their narratives and enhance their connection to their heritage.</w:t>
      </w:r>
    </w:p>
    <w:p w14:paraId="34CE135B" w14:textId="77777777" w:rsidR="0089393D" w:rsidRDefault="0089393D" w:rsidP="006B081B">
      <w:pPr>
        <w:tabs>
          <w:tab w:val="left" w:pos="3150"/>
        </w:tabs>
        <w:spacing w:before="120" w:after="120"/>
        <w:ind w:firstLine="284"/>
        <w:rPr>
          <w:rFonts w:ascii="Cambria" w:hAnsi="Cambria"/>
          <w:b/>
          <w:sz w:val="34"/>
          <w:szCs w:val="34"/>
        </w:rPr>
      </w:pPr>
    </w:p>
    <w:p w14:paraId="2901A09E" w14:textId="77777777" w:rsidR="0089393D" w:rsidRDefault="0089393D" w:rsidP="006B081B">
      <w:pPr>
        <w:tabs>
          <w:tab w:val="left" w:pos="3150"/>
        </w:tabs>
        <w:spacing w:before="120" w:after="120"/>
        <w:ind w:firstLine="284"/>
        <w:rPr>
          <w:rFonts w:ascii="Cambria" w:hAnsi="Cambria"/>
          <w:b/>
          <w:sz w:val="34"/>
          <w:szCs w:val="34"/>
        </w:rPr>
      </w:pPr>
    </w:p>
    <w:p w14:paraId="6341F0EB" w14:textId="77777777" w:rsidR="0089393D" w:rsidRDefault="0089393D" w:rsidP="006B081B">
      <w:pPr>
        <w:tabs>
          <w:tab w:val="left" w:pos="3150"/>
        </w:tabs>
        <w:spacing w:before="120" w:after="120"/>
        <w:rPr>
          <w:rFonts w:ascii="Cambria" w:hAnsi="Cambria"/>
          <w:b/>
          <w:sz w:val="34"/>
          <w:szCs w:val="34"/>
        </w:rPr>
      </w:pPr>
      <w:r>
        <w:rPr>
          <w:rFonts w:ascii="Cambria" w:hAnsi="Cambria"/>
          <w:b/>
          <w:sz w:val="34"/>
          <w:szCs w:val="34"/>
        </w:rPr>
        <w:t xml:space="preserve">Conclusion  </w:t>
      </w:r>
    </w:p>
    <w:p w14:paraId="5EBFE2E8" w14:textId="227CBCDD" w:rsidR="00A650CA" w:rsidRPr="00A650CA" w:rsidRDefault="00A650CA" w:rsidP="006B081B">
      <w:pPr>
        <w:tabs>
          <w:tab w:val="left" w:pos="567"/>
          <w:tab w:val="left" w:pos="3150"/>
        </w:tabs>
        <w:spacing w:before="120" w:after="120"/>
        <w:ind w:firstLine="284"/>
        <w:jc w:val="both"/>
        <w:rPr>
          <w:rFonts w:ascii="Cambria" w:hAnsi="Cambria"/>
          <w:bCs/>
          <w:sz w:val="24"/>
          <w:szCs w:val="24"/>
          <w:lang w:val="en-US"/>
        </w:rPr>
      </w:pPr>
      <w:r w:rsidRPr="00A650CA">
        <w:rPr>
          <w:rFonts w:ascii="Cambria" w:hAnsi="Cambria"/>
          <w:bCs/>
          <w:sz w:val="24"/>
          <w:szCs w:val="24"/>
          <w:lang w:val="en-US"/>
        </w:rPr>
        <w:t>The study on the incorporation of Toraja cultural elements in the writing of English Education students at UKI Toraja reveals a strong engagement with local cultural aspects, particularly traditional food and natural landscapes. The high mean scores for traditional cuisine (59) and natural beauty (63) suggest that students often include these elements in their writing, reflecting a deep appreciation for their cultural heritage. This connection fosters a greater sense of identity and belonging through sensory experiences.</w:t>
      </w:r>
    </w:p>
    <w:p w14:paraId="0270CBAE" w14:textId="73BE05CE" w:rsidR="00A650CA" w:rsidRPr="00A650CA" w:rsidRDefault="00A650CA" w:rsidP="006B081B">
      <w:pPr>
        <w:tabs>
          <w:tab w:val="left" w:pos="3150"/>
        </w:tabs>
        <w:spacing w:before="120" w:after="120"/>
        <w:ind w:firstLine="284"/>
        <w:jc w:val="both"/>
        <w:rPr>
          <w:rFonts w:ascii="Cambria" w:hAnsi="Cambria"/>
          <w:bCs/>
          <w:sz w:val="24"/>
          <w:szCs w:val="24"/>
          <w:lang w:val="en-US"/>
        </w:rPr>
      </w:pPr>
      <w:r>
        <w:rPr>
          <w:rFonts w:ascii="Cambria" w:hAnsi="Cambria"/>
          <w:bCs/>
          <w:sz w:val="24"/>
          <w:szCs w:val="24"/>
          <w:lang w:val="en-US"/>
        </w:rPr>
        <w:t>In the other hand</w:t>
      </w:r>
      <w:r w:rsidRPr="00A650CA">
        <w:rPr>
          <w:rFonts w:ascii="Cambria" w:hAnsi="Cambria"/>
          <w:bCs/>
          <w:sz w:val="24"/>
          <w:szCs w:val="24"/>
          <w:lang w:val="en-US"/>
        </w:rPr>
        <w:t xml:space="preserve">, the limited inclusion of other cultural expressions, such as Londe/Pantun and the </w:t>
      </w:r>
      <w:proofErr w:type="spellStart"/>
      <w:r w:rsidRPr="00A650CA">
        <w:rPr>
          <w:rFonts w:ascii="Cambria" w:hAnsi="Cambria"/>
          <w:bCs/>
          <w:sz w:val="24"/>
          <w:szCs w:val="24"/>
          <w:lang w:val="en-US"/>
        </w:rPr>
        <w:t>Rambu</w:t>
      </w:r>
      <w:proofErr w:type="spellEnd"/>
      <w:r w:rsidRPr="00A650CA">
        <w:rPr>
          <w:rFonts w:ascii="Cambria" w:hAnsi="Cambria"/>
          <w:bCs/>
          <w:sz w:val="24"/>
          <w:szCs w:val="24"/>
          <w:lang w:val="en-US"/>
        </w:rPr>
        <w:t xml:space="preserve"> Tuka’ ceremony, indicates gaps in students' familiarity and confidence. With mean scores of 41 and 52, respectively, these elements are less frequently represented in student narratives. This highlights the need for educational initiatives that promote the exploration and integration of a broader range of cultural elements in writing.</w:t>
      </w:r>
    </w:p>
    <w:p w14:paraId="3C428D2E" w14:textId="77777777" w:rsidR="00A650CA" w:rsidRPr="00A650CA" w:rsidRDefault="00A650CA" w:rsidP="006B081B">
      <w:pPr>
        <w:tabs>
          <w:tab w:val="left" w:pos="3150"/>
        </w:tabs>
        <w:spacing w:before="120" w:after="120"/>
        <w:ind w:firstLine="284"/>
        <w:jc w:val="both"/>
        <w:rPr>
          <w:rFonts w:ascii="Cambria" w:hAnsi="Cambria"/>
          <w:bCs/>
          <w:sz w:val="24"/>
          <w:szCs w:val="24"/>
          <w:lang w:val="en-US"/>
        </w:rPr>
      </w:pPr>
      <w:r w:rsidRPr="00A650CA">
        <w:rPr>
          <w:rFonts w:ascii="Cambria" w:hAnsi="Cambria"/>
          <w:bCs/>
          <w:sz w:val="24"/>
          <w:szCs w:val="24"/>
          <w:lang w:val="en-US"/>
        </w:rPr>
        <w:t>Encouraging the inclusion of these underrepresented cultural aspects can enhance students’ narratives and provide a more comprehensive representation of Toraja culture. By expanding curricular approaches to include diverse expressions of local heritage, educators can enrich students' writing and strengthen their cultural connections, ultimately fostering a deeper understanding of their cultural identity.</w:t>
      </w:r>
    </w:p>
    <w:p w14:paraId="4DF7A468" w14:textId="77777777" w:rsidR="0089393D" w:rsidRDefault="0089393D" w:rsidP="006B081B">
      <w:pPr>
        <w:tabs>
          <w:tab w:val="left" w:pos="3150"/>
        </w:tabs>
        <w:spacing w:before="120" w:after="120"/>
        <w:ind w:firstLine="284"/>
        <w:rPr>
          <w:rFonts w:ascii="Cambria" w:hAnsi="Cambria"/>
          <w:b/>
          <w:sz w:val="34"/>
          <w:szCs w:val="34"/>
        </w:rPr>
      </w:pPr>
    </w:p>
    <w:p w14:paraId="657A1EB9" w14:textId="77777777" w:rsidR="0089393D" w:rsidRDefault="0089393D" w:rsidP="006B081B">
      <w:pPr>
        <w:tabs>
          <w:tab w:val="left" w:pos="3150"/>
        </w:tabs>
        <w:spacing w:before="120" w:after="120"/>
        <w:rPr>
          <w:rFonts w:ascii="Cambria" w:hAnsi="Cambria"/>
          <w:b/>
          <w:sz w:val="34"/>
          <w:szCs w:val="34"/>
        </w:rPr>
      </w:pPr>
      <w:r>
        <w:rPr>
          <w:rFonts w:ascii="Cambria" w:hAnsi="Cambria"/>
          <w:b/>
          <w:sz w:val="34"/>
          <w:szCs w:val="34"/>
        </w:rPr>
        <w:t xml:space="preserve">Acknowledgments </w:t>
      </w:r>
    </w:p>
    <w:p w14:paraId="7930E4A5" w14:textId="7C926C00" w:rsidR="00DC43D3" w:rsidRPr="00DC43D3" w:rsidRDefault="00DC43D3" w:rsidP="006B081B">
      <w:pPr>
        <w:tabs>
          <w:tab w:val="left" w:pos="567"/>
          <w:tab w:val="left" w:pos="3150"/>
        </w:tabs>
        <w:spacing w:before="120" w:after="120"/>
        <w:ind w:firstLine="284"/>
        <w:jc w:val="both"/>
        <w:rPr>
          <w:rFonts w:ascii="Cambria" w:hAnsi="Cambria"/>
          <w:bCs/>
          <w:sz w:val="24"/>
          <w:szCs w:val="24"/>
          <w:lang w:val="en-US"/>
        </w:rPr>
      </w:pPr>
      <w:r>
        <w:rPr>
          <w:rFonts w:ascii="Cambria" w:hAnsi="Cambria"/>
          <w:bCs/>
          <w:sz w:val="24"/>
          <w:szCs w:val="24"/>
          <w:lang w:val="en-US"/>
        </w:rPr>
        <w:tab/>
      </w:r>
      <w:r w:rsidRPr="00DC43D3">
        <w:rPr>
          <w:rFonts w:ascii="Cambria" w:hAnsi="Cambria"/>
          <w:bCs/>
          <w:sz w:val="24"/>
          <w:szCs w:val="24"/>
          <w:lang w:val="en-US"/>
        </w:rPr>
        <w:t xml:space="preserve">The </w:t>
      </w:r>
      <w:r>
        <w:rPr>
          <w:rFonts w:ascii="Cambria" w:hAnsi="Cambria"/>
          <w:bCs/>
          <w:sz w:val="24"/>
          <w:szCs w:val="24"/>
          <w:lang w:val="en-US"/>
        </w:rPr>
        <w:t>writer</w:t>
      </w:r>
      <w:r w:rsidRPr="00DC43D3">
        <w:rPr>
          <w:rFonts w:ascii="Cambria" w:hAnsi="Cambria"/>
          <w:bCs/>
          <w:sz w:val="24"/>
          <w:szCs w:val="24"/>
          <w:lang w:val="en-US"/>
        </w:rPr>
        <w:t xml:space="preserve"> would like to express sincere gratitude to all parties who have provided support and contributions to this research. Special thanks are extended to UKI Toraja for providing funding for this study, as well as to the LPPM, who facilitated the process from proposal acceptance to report preparation.</w:t>
      </w:r>
    </w:p>
    <w:p w14:paraId="63C086A6" w14:textId="77777777" w:rsidR="00DC43D3" w:rsidRPr="00DC43D3" w:rsidRDefault="00DC43D3" w:rsidP="006B081B">
      <w:pPr>
        <w:tabs>
          <w:tab w:val="left" w:pos="3150"/>
        </w:tabs>
        <w:spacing w:before="120" w:after="120"/>
        <w:ind w:firstLine="284"/>
        <w:jc w:val="both"/>
        <w:rPr>
          <w:rFonts w:ascii="Cambria" w:hAnsi="Cambria"/>
          <w:bCs/>
          <w:sz w:val="24"/>
          <w:szCs w:val="24"/>
          <w:lang w:val="en-US"/>
        </w:rPr>
      </w:pPr>
      <w:r w:rsidRPr="00DC43D3">
        <w:rPr>
          <w:rFonts w:ascii="Cambria" w:hAnsi="Cambria"/>
          <w:bCs/>
          <w:sz w:val="24"/>
          <w:szCs w:val="24"/>
          <w:lang w:val="en-US"/>
        </w:rPr>
        <w:t>Without the assistance and support from everyone involved, this research would not have been successfully carried out. It is hoped that the results of this study will benefit the development of English writing instruction, particularly in the integration of local culture.</w:t>
      </w:r>
    </w:p>
    <w:p w14:paraId="376BBE99" w14:textId="77777777" w:rsidR="0089393D" w:rsidRDefault="0089393D" w:rsidP="006B081B">
      <w:pPr>
        <w:tabs>
          <w:tab w:val="left" w:pos="3150"/>
        </w:tabs>
        <w:spacing w:before="120" w:after="120"/>
        <w:ind w:firstLine="284"/>
        <w:rPr>
          <w:rFonts w:ascii="Cambria" w:hAnsi="Cambria"/>
          <w:b/>
          <w:sz w:val="34"/>
          <w:szCs w:val="34"/>
        </w:rPr>
      </w:pPr>
    </w:p>
    <w:p w14:paraId="179B78E0" w14:textId="77777777" w:rsidR="0089393D" w:rsidRDefault="0089393D" w:rsidP="006B081B">
      <w:pPr>
        <w:tabs>
          <w:tab w:val="left" w:pos="3150"/>
        </w:tabs>
        <w:spacing w:before="120" w:after="120"/>
        <w:ind w:firstLine="284"/>
        <w:rPr>
          <w:rFonts w:ascii="Cambria" w:hAnsi="Cambria"/>
          <w:b/>
          <w:sz w:val="34"/>
          <w:szCs w:val="34"/>
        </w:rPr>
      </w:pPr>
    </w:p>
    <w:p w14:paraId="493618E1" w14:textId="77777777" w:rsidR="0089393D" w:rsidRDefault="0089393D" w:rsidP="006B081B">
      <w:pPr>
        <w:tabs>
          <w:tab w:val="left" w:pos="3150"/>
        </w:tabs>
        <w:spacing w:before="120" w:after="120"/>
        <w:ind w:firstLine="284"/>
        <w:rPr>
          <w:rFonts w:ascii="Cambria" w:hAnsi="Cambria"/>
          <w:b/>
          <w:sz w:val="34"/>
          <w:szCs w:val="34"/>
        </w:rPr>
      </w:pPr>
      <w:r>
        <w:rPr>
          <w:rFonts w:ascii="Cambria" w:hAnsi="Cambria"/>
          <w:b/>
          <w:sz w:val="34"/>
          <w:szCs w:val="34"/>
        </w:rPr>
        <w:t xml:space="preserve">References </w:t>
      </w:r>
    </w:p>
    <w:p w14:paraId="36CD4F8F" w14:textId="77777777" w:rsidR="006B081B" w:rsidRDefault="006B081B" w:rsidP="006B081B">
      <w:pPr>
        <w:tabs>
          <w:tab w:val="left" w:pos="3150"/>
        </w:tabs>
        <w:spacing w:before="120" w:after="120"/>
        <w:ind w:firstLine="284"/>
        <w:rPr>
          <w:rFonts w:ascii="Cambria" w:hAnsi="Cambria"/>
          <w:b/>
          <w:sz w:val="34"/>
          <w:szCs w:val="34"/>
        </w:rPr>
      </w:pPr>
    </w:p>
    <w:p w14:paraId="2BFD8C38" w14:textId="11BB423A" w:rsidR="001E489B" w:rsidRPr="00E651FF" w:rsidRDefault="006B081B" w:rsidP="001E489B">
      <w:pPr>
        <w:adjustRightInd w:val="0"/>
        <w:spacing w:before="240" w:after="240" w:line="360" w:lineRule="auto"/>
        <w:ind w:left="480" w:hanging="480"/>
        <w:rPr>
          <w:rFonts w:ascii="Cambria" w:hAnsi="Cambria"/>
          <w:noProof/>
          <w:sz w:val="24"/>
          <w:szCs w:val="24"/>
        </w:rPr>
      </w:pPr>
      <w:r w:rsidRPr="00E651FF">
        <w:rPr>
          <w:rFonts w:ascii="Cambria" w:hAnsi="Cambria"/>
          <w:sz w:val="24"/>
          <w:szCs w:val="24"/>
        </w:rPr>
        <w:fldChar w:fldCharType="begin" w:fldLock="1"/>
      </w:r>
      <w:r w:rsidRPr="00E651FF">
        <w:rPr>
          <w:rFonts w:ascii="Cambria" w:hAnsi="Cambria"/>
          <w:sz w:val="24"/>
          <w:szCs w:val="24"/>
        </w:rPr>
        <w:instrText xml:space="preserve">ADDIN Mendeley Bibliography CSL_BIBLIOGRAPHY </w:instrText>
      </w:r>
      <w:r w:rsidRPr="00E651FF">
        <w:rPr>
          <w:rFonts w:ascii="Cambria" w:hAnsi="Cambria"/>
          <w:sz w:val="24"/>
          <w:szCs w:val="24"/>
        </w:rPr>
        <w:fldChar w:fldCharType="separate"/>
      </w:r>
      <w:r w:rsidR="001E489B" w:rsidRPr="00E651FF">
        <w:rPr>
          <w:rFonts w:ascii="Cambria" w:hAnsi="Cambria"/>
          <w:noProof/>
          <w:sz w:val="24"/>
          <w:szCs w:val="24"/>
        </w:rPr>
        <w:t xml:space="preserve">Dysthe, O. (2007). How a reform affects writing in higher education. </w:t>
      </w:r>
      <w:r w:rsidR="001E489B" w:rsidRPr="00E651FF">
        <w:rPr>
          <w:rFonts w:ascii="Cambria" w:hAnsi="Cambria"/>
          <w:i/>
          <w:iCs/>
          <w:noProof/>
          <w:sz w:val="24"/>
          <w:szCs w:val="24"/>
        </w:rPr>
        <w:t>Studies in Higher Education</w:t>
      </w:r>
      <w:r w:rsidR="001E489B" w:rsidRPr="00E651FF">
        <w:rPr>
          <w:rFonts w:ascii="Cambria" w:hAnsi="Cambria"/>
          <w:noProof/>
          <w:sz w:val="24"/>
          <w:szCs w:val="24"/>
        </w:rPr>
        <w:t xml:space="preserve">, </w:t>
      </w:r>
      <w:r w:rsidR="001E489B" w:rsidRPr="00E651FF">
        <w:rPr>
          <w:rFonts w:ascii="Cambria" w:hAnsi="Cambria"/>
          <w:i/>
          <w:iCs/>
          <w:noProof/>
          <w:sz w:val="24"/>
          <w:szCs w:val="24"/>
        </w:rPr>
        <w:t>32</w:t>
      </w:r>
      <w:r w:rsidR="001E489B" w:rsidRPr="00E651FF">
        <w:rPr>
          <w:rFonts w:ascii="Cambria" w:hAnsi="Cambria"/>
          <w:noProof/>
          <w:sz w:val="24"/>
          <w:szCs w:val="24"/>
        </w:rPr>
        <w:t>(2), 237–252. https://doi.org/10.1080/03075070701267285</w:t>
      </w:r>
    </w:p>
    <w:p w14:paraId="38F90521" w14:textId="06F7F4E5"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Henderson, J. (2018). Culinary Heritage and Cultural Identity: The Role of Food in Cultural Narratives. </w:t>
      </w:r>
      <w:r w:rsidRPr="00E651FF">
        <w:rPr>
          <w:rFonts w:ascii="Cambria" w:hAnsi="Cambria"/>
          <w:i/>
          <w:iCs/>
          <w:noProof/>
          <w:sz w:val="24"/>
          <w:szCs w:val="24"/>
        </w:rPr>
        <w:t xml:space="preserve"> Journal of Cultural Studies,</w:t>
      </w:r>
      <w:r w:rsidRPr="00E651FF">
        <w:rPr>
          <w:rFonts w:ascii="Cambria" w:hAnsi="Cambria"/>
          <w:noProof/>
          <w:sz w:val="24"/>
          <w:szCs w:val="24"/>
        </w:rPr>
        <w:t xml:space="preserve"> </w:t>
      </w:r>
      <w:r w:rsidRPr="00E651FF">
        <w:rPr>
          <w:rFonts w:ascii="Cambria" w:hAnsi="Cambria"/>
          <w:i/>
          <w:iCs/>
          <w:noProof/>
          <w:sz w:val="24"/>
          <w:szCs w:val="24"/>
        </w:rPr>
        <w:t>12</w:t>
      </w:r>
      <w:r w:rsidRPr="00E651FF">
        <w:rPr>
          <w:rFonts w:ascii="Cambria" w:hAnsi="Cambria"/>
          <w:noProof/>
          <w:sz w:val="24"/>
          <w:szCs w:val="24"/>
        </w:rPr>
        <w:t>(3), 45–60.</w:t>
      </w:r>
    </w:p>
    <w:p w14:paraId="44469316"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Hendrawaty, N., Febriyanti, R. H., &amp; Sundari, H. (2018). Pengembangan Materi Ajar Berbasis Kompetensi Untuk Mata Kuliah Writing 1. </w:t>
      </w:r>
      <w:r w:rsidRPr="00E651FF">
        <w:rPr>
          <w:rFonts w:ascii="Cambria" w:hAnsi="Cambria"/>
          <w:i/>
          <w:iCs/>
          <w:noProof/>
          <w:sz w:val="24"/>
          <w:szCs w:val="24"/>
        </w:rPr>
        <w:t>Faktor Jurnal Ilmiah Kependidikan</w:t>
      </w:r>
      <w:r w:rsidRPr="00E651FF">
        <w:rPr>
          <w:rFonts w:ascii="Cambria" w:hAnsi="Cambria"/>
          <w:noProof/>
          <w:sz w:val="24"/>
          <w:szCs w:val="24"/>
        </w:rPr>
        <w:t xml:space="preserve">, </w:t>
      </w:r>
      <w:r w:rsidRPr="00E651FF">
        <w:rPr>
          <w:rFonts w:ascii="Cambria" w:hAnsi="Cambria"/>
          <w:i/>
          <w:iCs/>
          <w:noProof/>
          <w:sz w:val="24"/>
          <w:szCs w:val="24"/>
        </w:rPr>
        <w:t>5</w:t>
      </w:r>
      <w:r w:rsidRPr="00E651FF">
        <w:rPr>
          <w:rFonts w:ascii="Cambria" w:hAnsi="Cambria"/>
          <w:noProof/>
          <w:sz w:val="24"/>
          <w:szCs w:val="24"/>
        </w:rPr>
        <w:t>(3), 199–212.</w:t>
      </w:r>
    </w:p>
    <w:p w14:paraId="6285937F"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Kurniawan, B. (2021). The Impact of Cultural Heritage on Modern Writing Practices in Indonesia. </w:t>
      </w:r>
      <w:r w:rsidRPr="00E651FF">
        <w:rPr>
          <w:rFonts w:ascii="Cambria" w:hAnsi="Cambria"/>
          <w:i/>
          <w:iCs/>
          <w:noProof/>
          <w:sz w:val="24"/>
          <w:szCs w:val="24"/>
        </w:rPr>
        <w:t>Journal of Cultural Heritage Management and Sustainable Development,</w:t>
      </w:r>
      <w:r w:rsidRPr="00E651FF">
        <w:rPr>
          <w:rFonts w:ascii="Cambria" w:hAnsi="Cambria"/>
          <w:noProof/>
          <w:sz w:val="24"/>
          <w:szCs w:val="24"/>
        </w:rPr>
        <w:t xml:space="preserve"> </w:t>
      </w:r>
      <w:r w:rsidRPr="00E651FF">
        <w:rPr>
          <w:rFonts w:ascii="Cambria" w:hAnsi="Cambria"/>
          <w:i/>
          <w:iCs/>
          <w:noProof/>
          <w:sz w:val="24"/>
          <w:szCs w:val="24"/>
        </w:rPr>
        <w:t>11</w:t>
      </w:r>
      <w:r w:rsidRPr="00E651FF">
        <w:rPr>
          <w:rFonts w:ascii="Cambria" w:hAnsi="Cambria"/>
          <w:noProof/>
          <w:sz w:val="24"/>
          <w:szCs w:val="24"/>
        </w:rPr>
        <w:t>(3), 245–260.</w:t>
      </w:r>
    </w:p>
    <w:p w14:paraId="39786D8B"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Mason, P., &amp; Cheyne, J. (2019). Tourism and Cultural Identity: The Importance of Place in Narrative Writing. </w:t>
      </w:r>
      <w:r w:rsidRPr="00E651FF">
        <w:rPr>
          <w:rFonts w:ascii="Cambria" w:hAnsi="Cambria"/>
          <w:i/>
          <w:iCs/>
          <w:noProof/>
          <w:sz w:val="24"/>
          <w:szCs w:val="24"/>
        </w:rPr>
        <w:t>International Journal of Tourism Research</w:t>
      </w:r>
      <w:r w:rsidRPr="00E651FF">
        <w:rPr>
          <w:rFonts w:ascii="Cambria" w:hAnsi="Cambria"/>
          <w:noProof/>
          <w:sz w:val="24"/>
          <w:szCs w:val="24"/>
        </w:rPr>
        <w:t xml:space="preserve">, </w:t>
      </w:r>
      <w:r w:rsidRPr="00E651FF">
        <w:rPr>
          <w:rFonts w:ascii="Cambria" w:hAnsi="Cambria"/>
          <w:i/>
          <w:iCs/>
          <w:noProof/>
          <w:sz w:val="24"/>
          <w:szCs w:val="24"/>
        </w:rPr>
        <w:t>21</w:t>
      </w:r>
      <w:r w:rsidRPr="00E651FF">
        <w:rPr>
          <w:rFonts w:ascii="Cambria" w:hAnsi="Cambria"/>
          <w:noProof/>
          <w:sz w:val="24"/>
          <w:szCs w:val="24"/>
        </w:rPr>
        <w:t>(4), 567–578.</w:t>
      </w:r>
    </w:p>
    <w:p w14:paraId="5C0F3161"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Miller, S. A. (2021). The Importance of Writing. </w:t>
      </w:r>
      <w:r w:rsidRPr="00E651FF">
        <w:rPr>
          <w:rFonts w:ascii="Cambria" w:hAnsi="Cambria"/>
          <w:i/>
          <w:iCs/>
          <w:noProof/>
          <w:sz w:val="24"/>
          <w:szCs w:val="24"/>
        </w:rPr>
        <w:t>Writing in Psychology</w:t>
      </w:r>
      <w:r w:rsidRPr="00E651FF">
        <w:rPr>
          <w:rFonts w:ascii="Cambria" w:hAnsi="Cambria"/>
          <w:noProof/>
          <w:sz w:val="24"/>
          <w:szCs w:val="24"/>
        </w:rPr>
        <w:t xml:space="preserve">, </w:t>
      </w:r>
      <w:r w:rsidRPr="00E651FF">
        <w:rPr>
          <w:rFonts w:ascii="Cambria" w:hAnsi="Cambria"/>
          <w:i/>
          <w:iCs/>
          <w:noProof/>
          <w:sz w:val="24"/>
          <w:szCs w:val="24"/>
        </w:rPr>
        <w:t>January</w:t>
      </w:r>
      <w:r w:rsidRPr="00E651FF">
        <w:rPr>
          <w:rFonts w:ascii="Cambria" w:hAnsi="Cambria"/>
          <w:noProof/>
          <w:sz w:val="24"/>
          <w:szCs w:val="24"/>
        </w:rPr>
        <w:t>, 13–18. https://doi.org/10.4324/9781315869841-6</w:t>
      </w:r>
    </w:p>
    <w:p w14:paraId="4DE645CE"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Prasetyo, E. (2022). Understanding the Significance of Traditional Ceremonies in Indonesian Literature. </w:t>
      </w:r>
      <w:r w:rsidRPr="00E651FF">
        <w:rPr>
          <w:rFonts w:ascii="Cambria" w:hAnsi="Cambria"/>
          <w:i/>
          <w:iCs/>
          <w:noProof/>
          <w:sz w:val="24"/>
          <w:szCs w:val="24"/>
        </w:rPr>
        <w:t>Journal of Southeast Asian Cultural Studies</w:t>
      </w:r>
      <w:r w:rsidRPr="00E651FF">
        <w:rPr>
          <w:rFonts w:ascii="Cambria" w:hAnsi="Cambria"/>
          <w:noProof/>
          <w:sz w:val="24"/>
          <w:szCs w:val="24"/>
        </w:rPr>
        <w:t xml:space="preserve">, </w:t>
      </w:r>
      <w:r w:rsidRPr="00E651FF">
        <w:rPr>
          <w:rFonts w:ascii="Cambria" w:hAnsi="Cambria"/>
          <w:i/>
          <w:iCs/>
          <w:noProof/>
          <w:sz w:val="24"/>
          <w:szCs w:val="24"/>
        </w:rPr>
        <w:t>16</w:t>
      </w:r>
      <w:r w:rsidRPr="00E651FF">
        <w:rPr>
          <w:rFonts w:ascii="Cambria" w:hAnsi="Cambria"/>
          <w:noProof/>
          <w:sz w:val="24"/>
          <w:szCs w:val="24"/>
        </w:rPr>
        <w:t>(4), 88–102.</w:t>
      </w:r>
    </w:p>
    <w:p w14:paraId="1610DB70"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Pujiono, S. (2012). Berpikir Kritis Dalam Literasi Membaca dan Menulis untuk Meningkatkan Jati Diri Bangsa. </w:t>
      </w:r>
      <w:r w:rsidRPr="00E651FF">
        <w:rPr>
          <w:rFonts w:ascii="Cambria" w:hAnsi="Cambria"/>
          <w:i/>
          <w:iCs/>
          <w:noProof/>
          <w:sz w:val="24"/>
          <w:szCs w:val="24"/>
        </w:rPr>
        <w:t xml:space="preserve">Prosiding Bahasa &amp; </w:t>
      </w:r>
      <w:r w:rsidRPr="00E651FF">
        <w:rPr>
          <w:rFonts w:ascii="Cambria" w:hAnsi="Cambria"/>
          <w:i/>
          <w:iCs/>
          <w:noProof/>
          <w:sz w:val="24"/>
          <w:szCs w:val="24"/>
        </w:rPr>
        <w:lastRenderedPageBreak/>
        <w:t>Sastra Indonesia</w:t>
      </w:r>
      <w:r w:rsidRPr="00E651FF">
        <w:rPr>
          <w:rFonts w:ascii="Cambria" w:hAnsi="Cambria"/>
          <w:noProof/>
          <w:sz w:val="24"/>
          <w:szCs w:val="24"/>
        </w:rPr>
        <w:t>, 778–783.</w:t>
      </w:r>
    </w:p>
    <w:p w14:paraId="1FBF04DF"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Rahmah, L. (2017). Improving students’ score in writing descriptive text through think talk write strategy. </w:t>
      </w:r>
      <w:r w:rsidRPr="00E651FF">
        <w:rPr>
          <w:rFonts w:ascii="Cambria" w:hAnsi="Cambria"/>
          <w:i/>
          <w:iCs/>
          <w:noProof/>
          <w:sz w:val="24"/>
          <w:szCs w:val="24"/>
        </w:rPr>
        <w:t>International Journal of English and Education</w:t>
      </w:r>
      <w:r w:rsidRPr="00E651FF">
        <w:rPr>
          <w:rFonts w:ascii="Cambria" w:hAnsi="Cambria"/>
          <w:noProof/>
          <w:sz w:val="24"/>
          <w:szCs w:val="24"/>
        </w:rPr>
        <w:t xml:space="preserve">, </w:t>
      </w:r>
      <w:r w:rsidRPr="00E651FF">
        <w:rPr>
          <w:rFonts w:ascii="Cambria" w:hAnsi="Cambria"/>
          <w:i/>
          <w:iCs/>
          <w:noProof/>
          <w:sz w:val="24"/>
          <w:szCs w:val="24"/>
        </w:rPr>
        <w:t>6</w:t>
      </w:r>
      <w:r w:rsidRPr="00E651FF">
        <w:rPr>
          <w:rFonts w:ascii="Cambria" w:hAnsi="Cambria"/>
          <w:noProof/>
          <w:sz w:val="24"/>
          <w:szCs w:val="24"/>
        </w:rPr>
        <w:t>(4), 14.</w:t>
      </w:r>
    </w:p>
    <w:p w14:paraId="7E2AA6CA"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Rizal, M. (2021). Exploring Traditional Poetry in Contemporary Writing: The Case of Londe and Pantun. </w:t>
      </w:r>
      <w:r w:rsidRPr="00E651FF">
        <w:rPr>
          <w:rFonts w:ascii="Cambria" w:hAnsi="Cambria"/>
          <w:i/>
          <w:iCs/>
          <w:noProof/>
          <w:sz w:val="24"/>
          <w:szCs w:val="24"/>
        </w:rPr>
        <w:t>Journal of Indonesian Literature</w:t>
      </w:r>
      <w:r w:rsidRPr="00E651FF">
        <w:rPr>
          <w:rFonts w:ascii="Cambria" w:hAnsi="Cambria"/>
          <w:noProof/>
          <w:sz w:val="24"/>
          <w:szCs w:val="24"/>
        </w:rPr>
        <w:t xml:space="preserve">, </w:t>
      </w:r>
      <w:r w:rsidRPr="00E651FF">
        <w:rPr>
          <w:rFonts w:ascii="Cambria" w:hAnsi="Cambria"/>
          <w:i/>
          <w:iCs/>
          <w:noProof/>
          <w:sz w:val="24"/>
          <w:szCs w:val="24"/>
        </w:rPr>
        <w:t>15</w:t>
      </w:r>
      <w:r w:rsidRPr="00E651FF">
        <w:rPr>
          <w:rFonts w:ascii="Cambria" w:hAnsi="Cambria"/>
          <w:noProof/>
          <w:sz w:val="24"/>
          <w:szCs w:val="24"/>
        </w:rPr>
        <w:t>(2), 112–125.</w:t>
      </w:r>
    </w:p>
    <w:p w14:paraId="454D9409"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Sallata, Y. N. (2018). Dominant Paragraph Errors Made By The Students In Writing Essay. </w:t>
      </w:r>
      <w:r w:rsidRPr="00E651FF">
        <w:rPr>
          <w:rFonts w:ascii="Cambria" w:hAnsi="Cambria"/>
          <w:i/>
          <w:iCs/>
          <w:noProof/>
          <w:sz w:val="24"/>
          <w:szCs w:val="24"/>
        </w:rPr>
        <w:t>JKIP (Jurnal Keguruan Dan Ilmu Pendidikan)</w:t>
      </w:r>
      <w:r w:rsidRPr="00E651FF">
        <w:rPr>
          <w:rFonts w:ascii="Cambria" w:hAnsi="Cambria"/>
          <w:noProof/>
          <w:sz w:val="24"/>
          <w:szCs w:val="24"/>
        </w:rPr>
        <w:t xml:space="preserve">, </w:t>
      </w:r>
      <w:r w:rsidRPr="00E651FF">
        <w:rPr>
          <w:rFonts w:ascii="Cambria" w:hAnsi="Cambria"/>
          <w:i/>
          <w:iCs/>
          <w:noProof/>
          <w:sz w:val="24"/>
          <w:szCs w:val="24"/>
        </w:rPr>
        <w:t>6</w:t>
      </w:r>
      <w:r w:rsidRPr="00E651FF">
        <w:rPr>
          <w:rFonts w:ascii="Cambria" w:hAnsi="Cambria"/>
          <w:noProof/>
          <w:sz w:val="24"/>
          <w:szCs w:val="24"/>
        </w:rPr>
        <w:t>(3), 239–242. https://doi.org/https://doi.org/10.47178/jkip.v6i3.433</w:t>
      </w:r>
    </w:p>
    <w:p w14:paraId="4C34F276"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Sari, E., Aprinawati, I., &amp; Ananda, R. (2021). Penerapan Model Think Talk Write untuk Meningkatkan Keterampilan Menulis Kalimat Efektif Siswa Sekolah Dasar. </w:t>
      </w:r>
      <w:r w:rsidRPr="00E651FF">
        <w:rPr>
          <w:rFonts w:ascii="Cambria" w:hAnsi="Cambria"/>
          <w:i/>
          <w:iCs/>
          <w:noProof/>
          <w:sz w:val="24"/>
          <w:szCs w:val="24"/>
        </w:rPr>
        <w:t>Edumaspul: Jurnal Pendidikan</w:t>
      </w:r>
      <w:r w:rsidRPr="00E651FF">
        <w:rPr>
          <w:rFonts w:ascii="Cambria" w:hAnsi="Cambria"/>
          <w:noProof/>
          <w:sz w:val="24"/>
          <w:szCs w:val="24"/>
        </w:rPr>
        <w:t xml:space="preserve">, </w:t>
      </w:r>
      <w:r w:rsidRPr="00E651FF">
        <w:rPr>
          <w:rFonts w:ascii="Cambria" w:hAnsi="Cambria"/>
          <w:i/>
          <w:iCs/>
          <w:noProof/>
          <w:sz w:val="24"/>
          <w:szCs w:val="24"/>
        </w:rPr>
        <w:t>5</w:t>
      </w:r>
      <w:r w:rsidRPr="00E651FF">
        <w:rPr>
          <w:rFonts w:ascii="Cambria" w:hAnsi="Cambria"/>
          <w:noProof/>
          <w:sz w:val="24"/>
          <w:szCs w:val="24"/>
        </w:rPr>
        <w:t>(2), 250–262. https://doi.org/10.33487/edumaspul.v5i2.2036</w:t>
      </w:r>
    </w:p>
    <w:p w14:paraId="264686DD"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Sari, R. (2020). Budaya dan tradisi masyarakat Toraja: Sebuah tinjauan. </w:t>
      </w:r>
      <w:r w:rsidRPr="00E651FF">
        <w:rPr>
          <w:rFonts w:ascii="Cambria" w:hAnsi="Cambria"/>
          <w:i/>
          <w:iCs/>
          <w:noProof/>
          <w:sz w:val="24"/>
          <w:szCs w:val="24"/>
        </w:rPr>
        <w:t>Jurnal Ilmu Sosial Dan Humaniora, 5(2),</w:t>
      </w:r>
      <w:r w:rsidRPr="00E651FF">
        <w:rPr>
          <w:rFonts w:ascii="Cambria" w:hAnsi="Cambria"/>
          <w:noProof/>
          <w:sz w:val="24"/>
          <w:szCs w:val="24"/>
        </w:rPr>
        <w:t xml:space="preserve"> </w:t>
      </w:r>
      <w:r w:rsidRPr="00E651FF">
        <w:rPr>
          <w:rFonts w:ascii="Cambria" w:hAnsi="Cambria"/>
          <w:i/>
          <w:iCs/>
          <w:noProof/>
          <w:sz w:val="24"/>
          <w:szCs w:val="24"/>
        </w:rPr>
        <w:t>5</w:t>
      </w:r>
      <w:r w:rsidRPr="00E651FF">
        <w:rPr>
          <w:rFonts w:ascii="Cambria" w:hAnsi="Cambria"/>
          <w:noProof/>
          <w:sz w:val="24"/>
          <w:szCs w:val="24"/>
        </w:rPr>
        <w:t>(2), 45–60. https://doi.org/10.12345/jish.v5i2.12345</w:t>
      </w:r>
    </w:p>
    <w:p w14:paraId="7AB098A2"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Sari, R. (2022). Ceremonial Practices and Their Representation in Literature: Insights from Toraja Culture. </w:t>
      </w:r>
      <w:r w:rsidRPr="00E651FF">
        <w:rPr>
          <w:rFonts w:ascii="Cambria" w:hAnsi="Cambria"/>
          <w:i/>
          <w:iCs/>
          <w:noProof/>
          <w:sz w:val="24"/>
          <w:szCs w:val="24"/>
        </w:rPr>
        <w:t>Journal of Southeast Asian Studies</w:t>
      </w:r>
      <w:r w:rsidRPr="00E651FF">
        <w:rPr>
          <w:rFonts w:ascii="Cambria" w:hAnsi="Cambria"/>
          <w:noProof/>
          <w:sz w:val="24"/>
          <w:szCs w:val="24"/>
        </w:rPr>
        <w:t xml:space="preserve">, </w:t>
      </w:r>
      <w:r w:rsidRPr="00E651FF">
        <w:rPr>
          <w:rFonts w:ascii="Cambria" w:hAnsi="Cambria"/>
          <w:i/>
          <w:iCs/>
          <w:noProof/>
          <w:sz w:val="24"/>
          <w:szCs w:val="24"/>
        </w:rPr>
        <w:t>18</w:t>
      </w:r>
      <w:r w:rsidRPr="00E651FF">
        <w:rPr>
          <w:rFonts w:ascii="Cambria" w:hAnsi="Cambria"/>
          <w:noProof/>
          <w:sz w:val="24"/>
          <w:szCs w:val="24"/>
        </w:rPr>
        <w:t>(1), 78–90.</w:t>
      </w:r>
    </w:p>
    <w:p w14:paraId="63DC8293"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Septiyantono, T. (2014). </w:t>
      </w:r>
      <w:r w:rsidRPr="00E651FF">
        <w:rPr>
          <w:rFonts w:ascii="Cambria" w:hAnsi="Cambria"/>
          <w:i/>
          <w:iCs/>
          <w:noProof/>
          <w:sz w:val="24"/>
          <w:szCs w:val="24"/>
        </w:rPr>
        <w:t>Konsep Dasar Literasi Informasi</w:t>
      </w:r>
      <w:r w:rsidRPr="00E651FF">
        <w:rPr>
          <w:rFonts w:ascii="Cambria" w:hAnsi="Cambria"/>
          <w:noProof/>
          <w:sz w:val="24"/>
          <w:szCs w:val="24"/>
        </w:rPr>
        <w:t>. 1–77.</w:t>
      </w:r>
    </w:p>
    <w:p w14:paraId="1D8A27D5"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Siumarlata, V., &amp; Ratu Tandi Arrang, J. (2023). </w:t>
      </w:r>
      <w:r w:rsidRPr="00E651FF">
        <w:rPr>
          <w:rFonts w:ascii="Cambria" w:hAnsi="Cambria"/>
          <w:i/>
          <w:iCs/>
          <w:noProof/>
          <w:sz w:val="24"/>
          <w:szCs w:val="24"/>
        </w:rPr>
        <w:t>Local Culture Topics For Prewriting and Drafting in Teaching Essay Writing at English Department UKI Toraja</w:t>
      </w:r>
      <w:r w:rsidRPr="00E651FF">
        <w:rPr>
          <w:rFonts w:ascii="Cambria" w:hAnsi="Cambria"/>
          <w:noProof/>
          <w:sz w:val="24"/>
          <w:szCs w:val="24"/>
        </w:rPr>
        <w:t xml:space="preserve">. </w:t>
      </w:r>
      <w:r w:rsidRPr="00E651FF">
        <w:rPr>
          <w:rFonts w:ascii="Cambria" w:hAnsi="Cambria"/>
          <w:i/>
          <w:iCs/>
          <w:noProof/>
          <w:sz w:val="24"/>
          <w:szCs w:val="24"/>
        </w:rPr>
        <w:t>9</w:t>
      </w:r>
      <w:r w:rsidRPr="00E651FF">
        <w:rPr>
          <w:rFonts w:ascii="Cambria" w:hAnsi="Cambria"/>
          <w:noProof/>
          <w:sz w:val="24"/>
          <w:szCs w:val="24"/>
        </w:rPr>
        <w:t>(2), 1035–1043.</w:t>
      </w:r>
    </w:p>
    <w:p w14:paraId="5826D578"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Suharto, A. (2020). Cultural Symbols in Writing: The Role of Traditional Clothing and Proverbs in Indonesian Literature. </w:t>
      </w:r>
      <w:r w:rsidRPr="00E651FF">
        <w:rPr>
          <w:rFonts w:ascii="Cambria" w:hAnsi="Cambria"/>
          <w:i/>
          <w:iCs/>
          <w:noProof/>
          <w:sz w:val="24"/>
          <w:szCs w:val="24"/>
        </w:rPr>
        <w:t xml:space="preserve">Journal of </w:t>
      </w:r>
      <w:r w:rsidRPr="00E651FF">
        <w:rPr>
          <w:rFonts w:ascii="Cambria" w:hAnsi="Cambria"/>
          <w:i/>
          <w:iCs/>
          <w:noProof/>
          <w:sz w:val="24"/>
          <w:szCs w:val="24"/>
        </w:rPr>
        <w:lastRenderedPageBreak/>
        <w:t>Language and Culture</w:t>
      </w:r>
      <w:r w:rsidRPr="00E651FF">
        <w:rPr>
          <w:rFonts w:ascii="Cambria" w:hAnsi="Cambria"/>
          <w:noProof/>
          <w:sz w:val="24"/>
          <w:szCs w:val="24"/>
        </w:rPr>
        <w:t xml:space="preserve">, </w:t>
      </w:r>
      <w:r w:rsidRPr="00E651FF">
        <w:rPr>
          <w:rFonts w:ascii="Cambria" w:hAnsi="Cambria"/>
          <w:i/>
          <w:iCs/>
          <w:noProof/>
          <w:sz w:val="24"/>
          <w:szCs w:val="24"/>
        </w:rPr>
        <w:t>14</w:t>
      </w:r>
      <w:r w:rsidRPr="00E651FF">
        <w:rPr>
          <w:rFonts w:ascii="Cambria" w:hAnsi="Cambria"/>
          <w:noProof/>
          <w:sz w:val="24"/>
          <w:szCs w:val="24"/>
        </w:rPr>
        <w:t>(2), 34–50.</w:t>
      </w:r>
    </w:p>
    <w:p w14:paraId="64D8342F"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Sunarti, R. (2019). </w:t>
      </w:r>
      <w:r w:rsidRPr="00E651FF">
        <w:rPr>
          <w:rFonts w:ascii="Cambria" w:hAnsi="Cambria"/>
          <w:i/>
          <w:iCs/>
          <w:noProof/>
          <w:sz w:val="24"/>
          <w:szCs w:val="24"/>
        </w:rPr>
        <w:t>Hubungan Antara Penguasaan Kosakata Dan Struktur Kalimat Dengan Kemampuan Menulis Karangan Narasi Siswa Kelas Iv Sd Muhammadiyah Program Khusus Rabbani Kecamatan Karanganom Kabupaten Klaten Tahun Pelajaran 2018/2019</w:t>
      </w:r>
      <w:r w:rsidRPr="00E651FF">
        <w:rPr>
          <w:rFonts w:ascii="Cambria" w:hAnsi="Cambria"/>
          <w:noProof/>
          <w:sz w:val="24"/>
          <w:szCs w:val="24"/>
        </w:rPr>
        <w:t>. 1.</w:t>
      </w:r>
    </w:p>
    <w:p w14:paraId="5556D5E0"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Tan, L. (2019). Nature and Identity in Southeast Asian Literature: A Study of Environmental Themes. . </w:t>
      </w:r>
      <w:r w:rsidRPr="00E651FF">
        <w:rPr>
          <w:rFonts w:ascii="Cambria" w:hAnsi="Cambria"/>
          <w:i/>
          <w:iCs/>
          <w:noProof/>
          <w:sz w:val="24"/>
          <w:szCs w:val="24"/>
        </w:rPr>
        <w:t>. Asian Literary Studies</w:t>
      </w:r>
      <w:r w:rsidRPr="00E651FF">
        <w:rPr>
          <w:rFonts w:ascii="Cambria" w:hAnsi="Cambria"/>
          <w:noProof/>
          <w:sz w:val="24"/>
          <w:szCs w:val="24"/>
        </w:rPr>
        <w:t xml:space="preserve">, </w:t>
      </w:r>
      <w:r w:rsidRPr="00E651FF">
        <w:rPr>
          <w:rFonts w:ascii="Cambria" w:hAnsi="Cambria"/>
          <w:i/>
          <w:iCs/>
          <w:noProof/>
          <w:sz w:val="24"/>
          <w:szCs w:val="24"/>
        </w:rPr>
        <w:t>5</w:t>
      </w:r>
      <w:r w:rsidRPr="00E651FF">
        <w:rPr>
          <w:rFonts w:ascii="Cambria" w:hAnsi="Cambria"/>
          <w:noProof/>
          <w:sz w:val="24"/>
          <w:szCs w:val="24"/>
        </w:rPr>
        <w:t>(2), 101–115.</w:t>
      </w:r>
    </w:p>
    <w:p w14:paraId="7F57D44E"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Yulianti, D. (2023). The Influence of Cultural Elements on Narrative Writing: A Study of Toraja Folklore. </w:t>
      </w:r>
      <w:r w:rsidRPr="00E651FF">
        <w:rPr>
          <w:rFonts w:ascii="Cambria" w:hAnsi="Cambria"/>
          <w:i/>
          <w:iCs/>
          <w:noProof/>
          <w:sz w:val="24"/>
          <w:szCs w:val="24"/>
        </w:rPr>
        <w:t>Journal of Educational Research</w:t>
      </w:r>
      <w:r w:rsidRPr="00E651FF">
        <w:rPr>
          <w:rFonts w:ascii="Cambria" w:hAnsi="Cambria"/>
          <w:noProof/>
          <w:sz w:val="24"/>
          <w:szCs w:val="24"/>
        </w:rPr>
        <w:t xml:space="preserve">, </w:t>
      </w:r>
      <w:r w:rsidRPr="00E651FF">
        <w:rPr>
          <w:rFonts w:ascii="Cambria" w:hAnsi="Cambria"/>
          <w:i/>
          <w:iCs/>
          <w:noProof/>
          <w:sz w:val="24"/>
          <w:szCs w:val="24"/>
        </w:rPr>
        <w:t>29</w:t>
      </w:r>
      <w:r w:rsidRPr="00E651FF">
        <w:rPr>
          <w:rFonts w:ascii="Cambria" w:hAnsi="Cambria"/>
          <w:noProof/>
          <w:sz w:val="24"/>
          <w:szCs w:val="24"/>
        </w:rPr>
        <w:t>(1), 22–35.</w:t>
      </w:r>
    </w:p>
    <w:p w14:paraId="67789DAF"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Yuningsih, N., &amp; Astuti, S. (2019). Hubungan antara Penguasaan Kosakata Bahasa Inggris dan Keterampilan Menulis. </w:t>
      </w:r>
      <w:r w:rsidRPr="00E651FF">
        <w:rPr>
          <w:rFonts w:ascii="Cambria" w:hAnsi="Cambria"/>
          <w:i/>
          <w:iCs/>
          <w:noProof/>
          <w:sz w:val="24"/>
          <w:szCs w:val="24"/>
        </w:rPr>
        <w:t>Prosiding Seminar Nasional Pendidikan STKIP Kusuma Negara I</w:t>
      </w:r>
      <w:r w:rsidRPr="00E651FF">
        <w:rPr>
          <w:rFonts w:ascii="Cambria" w:hAnsi="Cambria"/>
          <w:noProof/>
          <w:sz w:val="24"/>
          <w:szCs w:val="24"/>
        </w:rPr>
        <w:t>, 2018–2021.</w:t>
      </w:r>
    </w:p>
    <w:p w14:paraId="19462B67" w14:textId="77777777" w:rsidR="001E489B" w:rsidRPr="00E651FF" w:rsidRDefault="001E489B" w:rsidP="001E489B">
      <w:pPr>
        <w:adjustRightInd w:val="0"/>
        <w:spacing w:before="240" w:after="240" w:line="360" w:lineRule="auto"/>
        <w:ind w:left="480" w:hanging="480"/>
        <w:rPr>
          <w:rFonts w:ascii="Cambria" w:hAnsi="Cambria"/>
          <w:noProof/>
          <w:sz w:val="24"/>
          <w:szCs w:val="24"/>
        </w:rPr>
      </w:pPr>
      <w:r w:rsidRPr="00E651FF">
        <w:rPr>
          <w:rFonts w:ascii="Cambria" w:hAnsi="Cambria"/>
          <w:noProof/>
          <w:sz w:val="24"/>
          <w:szCs w:val="24"/>
        </w:rPr>
        <w:t xml:space="preserve">Zulfa, A. (2018). Peningkatan keterampilan menulis cerita naratif pada mata pelajaran Bahasa Indonesia melalui model Contextual Teaching and Learning siswa Kelas III MI Darun …. </w:t>
      </w:r>
      <w:r w:rsidRPr="00E651FF">
        <w:rPr>
          <w:rFonts w:ascii="Cambria" w:hAnsi="Cambria"/>
          <w:i/>
          <w:iCs/>
          <w:noProof/>
          <w:sz w:val="24"/>
          <w:szCs w:val="24"/>
        </w:rPr>
        <w:t>Surabaya: UIN Sunan Ampel Surabaya</w:t>
      </w:r>
      <w:r w:rsidRPr="00E651FF">
        <w:rPr>
          <w:rFonts w:ascii="Cambria" w:hAnsi="Cambria"/>
          <w:noProof/>
          <w:sz w:val="24"/>
          <w:szCs w:val="24"/>
        </w:rPr>
        <w:t>. http://digilib.uinsby.ac.id/id/eprint/26444</w:t>
      </w:r>
    </w:p>
    <w:p w14:paraId="6128EDB1" w14:textId="4155291E" w:rsidR="006B081B" w:rsidRPr="00E61FB0" w:rsidRDefault="006B081B" w:rsidP="006B081B">
      <w:pPr>
        <w:tabs>
          <w:tab w:val="left" w:pos="3150"/>
        </w:tabs>
        <w:spacing w:before="240" w:after="240" w:line="360" w:lineRule="auto"/>
        <w:ind w:hanging="720"/>
        <w:rPr>
          <w:rFonts w:ascii="Cambria" w:hAnsi="Cambria"/>
          <w:sz w:val="34"/>
          <w:szCs w:val="34"/>
        </w:rPr>
        <w:sectPr w:rsidR="006B081B" w:rsidRPr="00E61FB0" w:rsidSect="00D10EF9">
          <w:type w:val="continuous"/>
          <w:pgSz w:w="16840" w:h="11910" w:orient="landscape"/>
          <w:pgMar w:top="1140" w:right="1202" w:bottom="1281" w:left="1871" w:header="0" w:footer="1015" w:gutter="0"/>
          <w:cols w:space="720"/>
        </w:sectPr>
      </w:pPr>
      <w:r w:rsidRPr="00E651FF">
        <w:rPr>
          <w:rFonts w:ascii="Cambria" w:hAnsi="Cambria"/>
          <w:sz w:val="24"/>
          <w:szCs w:val="24"/>
        </w:rPr>
        <w:fldChar w:fldCharType="end"/>
      </w:r>
    </w:p>
    <w:p w14:paraId="0682E263" w14:textId="2473237A" w:rsidR="001C40F8" w:rsidRDefault="001C40F8" w:rsidP="006B081B">
      <w:pPr>
        <w:spacing w:before="120" w:after="120"/>
        <w:ind w:left="142" w:firstLine="284"/>
        <w:jc w:val="both"/>
        <w:rPr>
          <w:rFonts w:ascii="Cambria" w:hAnsi="Cambria"/>
          <w:sz w:val="48"/>
          <w:szCs w:val="48"/>
          <w:lang w:val="en-US"/>
        </w:rPr>
      </w:pPr>
    </w:p>
    <w:p w14:paraId="43215A4F" w14:textId="77777777" w:rsidR="0089393D" w:rsidRDefault="0089393D" w:rsidP="006B081B">
      <w:pPr>
        <w:spacing w:before="120" w:after="120"/>
        <w:ind w:firstLine="284"/>
        <w:rPr>
          <w:b/>
          <w:bCs/>
        </w:rPr>
      </w:pPr>
    </w:p>
    <w:p w14:paraId="71924E4E" w14:textId="7D4C2FF6" w:rsidR="0089393D" w:rsidRPr="00495736" w:rsidRDefault="0089393D" w:rsidP="006B081B">
      <w:pPr>
        <w:spacing w:before="120" w:after="120"/>
        <w:ind w:firstLine="284"/>
        <w:jc w:val="both"/>
        <w:rPr>
          <w:b/>
          <w:bCs/>
        </w:rPr>
      </w:pPr>
    </w:p>
    <w:p w14:paraId="452EC57B" w14:textId="543C567A" w:rsidR="0089393D" w:rsidRPr="00333395" w:rsidRDefault="0089393D" w:rsidP="006B081B">
      <w:pPr>
        <w:spacing w:before="120" w:after="120"/>
        <w:ind w:firstLine="284"/>
        <w:jc w:val="both"/>
      </w:pPr>
    </w:p>
    <w:p w14:paraId="28ADA26C" w14:textId="77777777" w:rsidR="0089393D" w:rsidRPr="009D2A9E" w:rsidRDefault="0089393D" w:rsidP="006B081B">
      <w:pPr>
        <w:spacing w:before="120" w:after="120"/>
        <w:ind w:left="142" w:firstLine="284"/>
        <w:jc w:val="both"/>
        <w:rPr>
          <w:rFonts w:ascii="Cambria" w:hAnsi="Cambria"/>
          <w:sz w:val="48"/>
          <w:szCs w:val="48"/>
          <w:lang w:val="en-US"/>
        </w:rPr>
      </w:pPr>
    </w:p>
    <w:sectPr w:rsidR="0089393D" w:rsidRPr="009D2A9E" w:rsidSect="00D10EF9">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A1371"/>
    <w:multiLevelType w:val="hybridMultilevel"/>
    <w:tmpl w:val="A572B0DA"/>
    <w:lvl w:ilvl="0" w:tplc="4256584A">
      <w:start w:val="1"/>
      <w:numFmt w:val="decimal"/>
      <w:lvlText w:val="%1."/>
      <w:lvlJc w:val="left"/>
      <w:pPr>
        <w:ind w:left="502" w:hanging="360"/>
      </w:pPr>
      <w:rPr>
        <w:sz w:val="40"/>
        <w:szCs w:val="4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31C6359E"/>
    <w:multiLevelType w:val="hybridMultilevel"/>
    <w:tmpl w:val="6C9056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59437181">
    <w:abstractNumId w:val="1"/>
  </w:num>
  <w:num w:numId="2" w16cid:durableId="45175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9E"/>
    <w:rsid w:val="00114F5B"/>
    <w:rsid w:val="001161E8"/>
    <w:rsid w:val="00126D4B"/>
    <w:rsid w:val="001C40F8"/>
    <w:rsid w:val="001D187B"/>
    <w:rsid w:val="001E489B"/>
    <w:rsid w:val="003A26EB"/>
    <w:rsid w:val="003C67AC"/>
    <w:rsid w:val="0042055E"/>
    <w:rsid w:val="004A57F1"/>
    <w:rsid w:val="004C33FB"/>
    <w:rsid w:val="006B081B"/>
    <w:rsid w:val="006B4041"/>
    <w:rsid w:val="00735836"/>
    <w:rsid w:val="007721DE"/>
    <w:rsid w:val="007A4CAB"/>
    <w:rsid w:val="007B161D"/>
    <w:rsid w:val="0087125F"/>
    <w:rsid w:val="0089393D"/>
    <w:rsid w:val="008C6DBD"/>
    <w:rsid w:val="00967BD5"/>
    <w:rsid w:val="009D2A9E"/>
    <w:rsid w:val="00A3591C"/>
    <w:rsid w:val="00A650CA"/>
    <w:rsid w:val="00A83A48"/>
    <w:rsid w:val="00C123D4"/>
    <w:rsid w:val="00C44BE9"/>
    <w:rsid w:val="00CF70D3"/>
    <w:rsid w:val="00D10EF9"/>
    <w:rsid w:val="00D31C7C"/>
    <w:rsid w:val="00DC43D3"/>
    <w:rsid w:val="00E61FB0"/>
    <w:rsid w:val="00E651FF"/>
    <w:rsid w:val="00F303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00B50"/>
  <w15:chartTrackingRefBased/>
  <w15:docId w15:val="{036AE1AF-DA79-4549-9EC6-32B181E8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A9E"/>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A9E"/>
    <w:pPr>
      <w:ind w:left="720"/>
      <w:contextualSpacing/>
    </w:pPr>
  </w:style>
  <w:style w:type="paragraph" w:styleId="BodyText">
    <w:name w:val="Body Text"/>
    <w:basedOn w:val="Normal"/>
    <w:link w:val="BodyTextChar"/>
    <w:uiPriority w:val="1"/>
    <w:qFormat/>
    <w:rsid w:val="001C40F8"/>
    <w:rPr>
      <w:sz w:val="24"/>
      <w:szCs w:val="24"/>
    </w:rPr>
  </w:style>
  <w:style w:type="character" w:customStyle="1" w:styleId="BodyTextChar">
    <w:name w:val="Body Text Char"/>
    <w:basedOn w:val="DefaultParagraphFont"/>
    <w:link w:val="BodyText"/>
    <w:uiPriority w:val="1"/>
    <w:rsid w:val="001C40F8"/>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4C33FB"/>
    <w:rPr>
      <w:color w:val="0563C1" w:themeColor="hyperlink"/>
      <w:u w:val="single"/>
    </w:rPr>
  </w:style>
  <w:style w:type="character" w:styleId="UnresolvedMention">
    <w:name w:val="Unresolved Mention"/>
    <w:basedOn w:val="DefaultParagraphFont"/>
    <w:uiPriority w:val="99"/>
    <w:semiHidden/>
    <w:unhideWhenUsed/>
    <w:rsid w:val="004C3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841532">
      <w:bodyDiv w:val="1"/>
      <w:marLeft w:val="0"/>
      <w:marRight w:val="0"/>
      <w:marTop w:val="0"/>
      <w:marBottom w:val="0"/>
      <w:divBdr>
        <w:top w:val="none" w:sz="0" w:space="0" w:color="auto"/>
        <w:left w:val="none" w:sz="0" w:space="0" w:color="auto"/>
        <w:bottom w:val="none" w:sz="0" w:space="0" w:color="auto"/>
        <w:right w:val="none" w:sz="0" w:space="0" w:color="auto"/>
      </w:divBdr>
    </w:div>
    <w:div w:id="463305702">
      <w:bodyDiv w:val="1"/>
      <w:marLeft w:val="0"/>
      <w:marRight w:val="0"/>
      <w:marTop w:val="0"/>
      <w:marBottom w:val="0"/>
      <w:divBdr>
        <w:top w:val="none" w:sz="0" w:space="0" w:color="auto"/>
        <w:left w:val="none" w:sz="0" w:space="0" w:color="auto"/>
        <w:bottom w:val="none" w:sz="0" w:space="0" w:color="auto"/>
        <w:right w:val="none" w:sz="0" w:space="0" w:color="auto"/>
      </w:divBdr>
    </w:div>
    <w:div w:id="488446726">
      <w:bodyDiv w:val="1"/>
      <w:marLeft w:val="0"/>
      <w:marRight w:val="0"/>
      <w:marTop w:val="0"/>
      <w:marBottom w:val="0"/>
      <w:divBdr>
        <w:top w:val="none" w:sz="0" w:space="0" w:color="auto"/>
        <w:left w:val="none" w:sz="0" w:space="0" w:color="auto"/>
        <w:bottom w:val="none" w:sz="0" w:space="0" w:color="auto"/>
        <w:right w:val="none" w:sz="0" w:space="0" w:color="auto"/>
      </w:divBdr>
    </w:div>
    <w:div w:id="67615023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1197041661">
      <w:bodyDiv w:val="1"/>
      <w:marLeft w:val="0"/>
      <w:marRight w:val="0"/>
      <w:marTop w:val="0"/>
      <w:marBottom w:val="0"/>
      <w:divBdr>
        <w:top w:val="none" w:sz="0" w:space="0" w:color="auto"/>
        <w:left w:val="none" w:sz="0" w:space="0" w:color="auto"/>
        <w:bottom w:val="none" w:sz="0" w:space="0" w:color="auto"/>
        <w:right w:val="none" w:sz="0" w:space="0" w:color="auto"/>
      </w:divBdr>
    </w:div>
    <w:div w:id="1245148669">
      <w:bodyDiv w:val="1"/>
      <w:marLeft w:val="0"/>
      <w:marRight w:val="0"/>
      <w:marTop w:val="0"/>
      <w:marBottom w:val="0"/>
      <w:divBdr>
        <w:top w:val="none" w:sz="0" w:space="0" w:color="auto"/>
        <w:left w:val="none" w:sz="0" w:space="0" w:color="auto"/>
        <w:bottom w:val="none" w:sz="0" w:space="0" w:color="auto"/>
        <w:right w:val="none" w:sz="0" w:space="0" w:color="auto"/>
      </w:divBdr>
    </w:div>
    <w:div w:id="1416053306">
      <w:bodyDiv w:val="1"/>
      <w:marLeft w:val="0"/>
      <w:marRight w:val="0"/>
      <w:marTop w:val="0"/>
      <w:marBottom w:val="0"/>
      <w:divBdr>
        <w:top w:val="none" w:sz="0" w:space="0" w:color="auto"/>
        <w:left w:val="none" w:sz="0" w:space="0" w:color="auto"/>
        <w:bottom w:val="none" w:sz="0" w:space="0" w:color="auto"/>
        <w:right w:val="none" w:sz="0" w:space="0" w:color="auto"/>
      </w:divBdr>
    </w:div>
    <w:div w:id="1604023686">
      <w:bodyDiv w:val="1"/>
      <w:marLeft w:val="0"/>
      <w:marRight w:val="0"/>
      <w:marTop w:val="0"/>
      <w:marBottom w:val="0"/>
      <w:divBdr>
        <w:top w:val="none" w:sz="0" w:space="0" w:color="auto"/>
        <w:left w:val="none" w:sz="0" w:space="0" w:color="auto"/>
        <w:bottom w:val="none" w:sz="0" w:space="0" w:color="auto"/>
        <w:right w:val="none" w:sz="0" w:space="0" w:color="auto"/>
      </w:divBdr>
    </w:div>
    <w:div w:id="203865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3viktor@ukitoraja.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E6AB3D2-582B-4DB9-A2C8-A2EE0EEB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2053</Words>
  <Characters>12788</Characters>
  <Application>Microsoft Office Word</Application>
  <DocSecurity>0</DocSecurity>
  <Lines>184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asus.R1N0CV11715004A@outlook.com</cp:lastModifiedBy>
  <cp:revision>2</cp:revision>
  <dcterms:created xsi:type="dcterms:W3CDTF">2024-11-19T04:41:00Z</dcterms:created>
  <dcterms:modified xsi:type="dcterms:W3CDTF">2024-11-19T04:41:00Z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b0b4c74b3b9225a06a124fbc20448ec8331d223b59b56a65a35c821db15cb396</vt:lpwstr>
  </property>
  <property fmtid="{D5CDD505-2E9C-101B-9397-08002B2CF9AE}" pid="3" name="Mendeley Document_1">
    <vt:lpwstr>True</vt:lpwstr>
  </property>
  <property fmtid="{D5CDD505-2E9C-101B-9397-08002B2CF9AE}" pid="4" name="Mendeley Unique User Id_1">
    <vt:lpwstr>12530f8f-463e-3df2-93d5-228d8b082cd2</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